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469" w:afterLines="150" w:afterAutospacing="0" w:line="560" w:lineRule="atLeast"/>
        <w:jc w:val="center"/>
        <w:textAlignment w:val="auto"/>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2021年度宜春市自然资源局</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469" w:afterLines="150" w:afterAutospacing="0" w:line="560" w:lineRule="atLeast"/>
        <w:jc w:val="center"/>
        <w:textAlignment w:val="auto"/>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部门整体支出绩效评价报告</w:t>
      </w: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lang w:val="en-US" w:eastAsia="zh-CN" w:bidi="ar"/>
        </w:rPr>
      </w:pPr>
    </w:p>
    <w:p>
      <w:pPr>
        <w:spacing w:before="0" w:beforeLines="0" w:after="0" w:afterLines="0" w:line="240" w:lineRule="auto"/>
        <w:ind w:left="0" w:leftChars="0" w:right="0" w:rightChars="0" w:firstLine="0" w:firstLineChars="0"/>
        <w:jc w:val="both"/>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 xml:space="preserve">     </w:t>
      </w:r>
    </w:p>
    <w:p>
      <w:pPr>
        <w:pStyle w:val="6"/>
        <w:rPr>
          <w:rFonts w:hint="eastAsia" w:ascii="宋体" w:hAnsi="宋体" w:eastAsia="宋体" w:cstheme="minorBidi"/>
          <w:kern w:val="2"/>
          <w:sz w:val="21"/>
          <w:szCs w:val="24"/>
          <w:lang w:val="en-US" w:eastAsia="zh-CN" w:bidi="ar-SA"/>
        </w:rPr>
      </w:pPr>
    </w:p>
    <w:p>
      <w:pPr>
        <w:pStyle w:val="6"/>
        <w:rPr>
          <w:rFonts w:hint="eastAsia" w:ascii="宋体" w:hAnsi="宋体" w:eastAsia="宋体" w:cstheme="minorBidi"/>
          <w:kern w:val="2"/>
          <w:sz w:val="21"/>
          <w:szCs w:val="24"/>
          <w:lang w:val="en-US" w:eastAsia="zh-CN" w:bidi="ar-SA"/>
        </w:rPr>
      </w:pPr>
    </w:p>
    <w:p>
      <w:pPr>
        <w:pStyle w:val="6"/>
        <w:rPr>
          <w:rFonts w:hint="eastAsia" w:ascii="宋体" w:hAnsi="宋体" w:eastAsia="宋体" w:cstheme="minorBidi"/>
          <w:kern w:val="2"/>
          <w:sz w:val="21"/>
          <w:szCs w:val="24"/>
          <w:lang w:val="en-US" w:eastAsia="zh-CN" w:bidi="ar-SA"/>
        </w:rPr>
      </w:pPr>
    </w:p>
    <w:p>
      <w:pPr>
        <w:pStyle w:val="6"/>
        <w:rPr>
          <w:rFonts w:hint="eastAsia" w:ascii="宋体" w:hAnsi="宋体" w:eastAsia="宋体" w:cstheme="minorBidi"/>
          <w:kern w:val="2"/>
          <w:sz w:val="21"/>
          <w:szCs w:val="24"/>
          <w:lang w:val="en-US" w:eastAsia="zh-CN" w:bidi="ar-SA"/>
        </w:rPr>
      </w:pPr>
    </w:p>
    <w:p>
      <w:pPr>
        <w:pStyle w:val="6"/>
        <w:rPr>
          <w:rFonts w:hint="eastAsia" w:ascii="宋体" w:hAnsi="宋体" w:eastAsia="宋体" w:cstheme="minorBidi"/>
          <w:kern w:val="2"/>
          <w:sz w:val="21"/>
          <w:szCs w:val="24"/>
          <w:lang w:val="en-US" w:eastAsia="zh-CN" w:bidi="ar-SA"/>
        </w:rPr>
      </w:pPr>
    </w:p>
    <w:p>
      <w:pPr>
        <w:pStyle w:val="6"/>
        <w:rPr>
          <w:rFonts w:hint="eastAsia" w:ascii="宋体" w:hAnsi="宋体" w:eastAsia="宋体" w:cstheme="minorBidi"/>
          <w:kern w:val="2"/>
          <w:sz w:val="21"/>
          <w:szCs w:val="24"/>
          <w:lang w:val="en-US" w:eastAsia="zh-CN" w:bidi="ar-SA"/>
        </w:rPr>
      </w:pPr>
    </w:p>
    <w:p>
      <w:pPr>
        <w:pStyle w:val="6"/>
        <w:jc w:val="center"/>
        <w:rPr>
          <w:rFonts w:hint="eastAsia" w:ascii="黑体" w:hAnsi="黑体" w:eastAsia="黑体" w:cs="黑体"/>
          <w:b/>
          <w:bCs/>
          <w:kern w:val="2"/>
          <w:sz w:val="44"/>
          <w:szCs w:val="44"/>
          <w:lang w:val="en-US" w:eastAsia="zh-CN" w:bidi="ar-SA"/>
        </w:rPr>
        <w:sectPr>
          <w:pgSz w:w="11906" w:h="16838"/>
          <w:pgMar w:top="1440" w:right="1179" w:bottom="1440" w:left="1179" w:header="851" w:footer="992" w:gutter="0"/>
          <w:cols w:space="0" w:num="1"/>
          <w:rtlGutter w:val="0"/>
          <w:docGrid w:type="lines" w:linePitch="312" w:charSpace="0"/>
        </w:sectPr>
      </w:pPr>
      <w:r>
        <w:rPr>
          <w:rFonts w:hint="eastAsia" w:ascii="黑体" w:hAnsi="黑体" w:eastAsia="黑体" w:cs="黑体"/>
          <w:b/>
          <w:bCs/>
          <w:kern w:val="2"/>
          <w:sz w:val="44"/>
          <w:szCs w:val="44"/>
          <w:lang w:val="en-US" w:eastAsia="zh-CN" w:bidi="ar-SA"/>
        </w:rPr>
        <w:t>2022年4月</w:t>
      </w:r>
    </w:p>
    <w:sdt>
      <w:sdtPr>
        <w:rPr>
          <w:rFonts w:ascii="宋体" w:hAnsi="宋体" w:eastAsia="宋体" w:cstheme="minorBidi"/>
          <w:kern w:val="2"/>
          <w:sz w:val="21"/>
          <w:szCs w:val="24"/>
          <w:lang w:val="en-US" w:eastAsia="zh-CN" w:bidi="ar-SA"/>
        </w:rPr>
        <w:id w:val="147460807"/>
        <w15:color w:val="DBDBDB"/>
        <w:docPartObj>
          <w:docPartGallery w:val="Table of Contents"/>
          <w:docPartUnique/>
        </w:docPartObj>
      </w:sdtPr>
      <w:sdtEndPr>
        <w:rPr>
          <w:rFonts w:ascii="宋体" w:hAnsi="宋体" w:eastAsia="宋体" w:cstheme="minorBidi"/>
          <w:kern w:val="2"/>
          <w:sz w:val="28"/>
          <w:szCs w:val="28"/>
          <w:lang w:val="en-US" w:eastAsia="zh-CN" w:bidi="ar-SA"/>
        </w:rPr>
      </w:sdtEndPr>
      <w:sdtContent>
        <w:sdt>
          <w:sdtPr>
            <w:rPr>
              <w:rFonts w:ascii="宋体" w:hAnsi="宋体" w:eastAsia="宋体" w:cstheme="minorBidi"/>
              <w:kern w:val="2"/>
              <w:sz w:val="21"/>
              <w:szCs w:val="24"/>
              <w:lang w:val="en-US" w:eastAsia="zh-CN" w:bidi="ar-SA"/>
            </w:rPr>
            <w:id w:val="147460807"/>
            <w15:color w:val="DBDBDB"/>
            <w:docPartObj>
              <w:docPartGallery w:val="Table of Contents"/>
              <w:docPartUnique/>
            </w:docPartObj>
          </w:sdtPr>
          <w:sdtEndPr>
            <w:rPr>
              <w:rFonts w:ascii="宋体" w:hAnsi="宋体" w:eastAsia="宋体" w:cstheme="minorBidi"/>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sz w:val="36"/>
                  <w:szCs w:val="28"/>
                </w:rPr>
              </w:pPr>
              <w:r>
                <w:rPr>
                  <w:rFonts w:ascii="宋体" w:hAnsi="宋体" w:eastAsia="宋体"/>
                  <w:b/>
                  <w:bCs/>
                  <w:sz w:val="36"/>
                  <w:szCs w:val="44"/>
                </w:rPr>
                <w:t>目</w:t>
              </w:r>
              <w:r>
                <w:rPr>
                  <w:rFonts w:hint="eastAsia" w:ascii="宋体" w:hAnsi="宋体" w:eastAsia="宋体"/>
                  <w:b/>
                  <w:bCs/>
                  <w:sz w:val="36"/>
                  <w:szCs w:val="44"/>
                  <w:lang w:val="en-US" w:eastAsia="zh-CN"/>
                </w:rPr>
                <w:t xml:space="preserve">  </w:t>
              </w:r>
              <w:r>
                <w:rPr>
                  <w:rFonts w:ascii="宋体" w:hAnsi="宋体" w:eastAsia="宋体"/>
                  <w:b/>
                  <w:bCs/>
                  <w:sz w:val="36"/>
                  <w:szCs w:val="44"/>
                </w:rPr>
                <w:t>录</w:t>
              </w:r>
            </w:p>
            <w:p>
              <w:pPr>
                <w:pStyle w:val="10"/>
                <w:tabs>
                  <w:tab w:val="right" w:leader="dot" w:pos="8306"/>
                </w:tabs>
                <w:rPr>
                  <w:rFonts w:hint="eastAsia" w:ascii="仿宋" w:hAnsi="仿宋" w:eastAsia="仿宋" w:cs="仿宋"/>
                  <w:sz w:val="32"/>
                  <w:szCs w:val="32"/>
                </w:rPr>
              </w:pPr>
              <w:r>
                <w:rPr>
                  <w:sz w:val="28"/>
                  <w:szCs w:val="28"/>
                </w:rPr>
                <w:fldChar w:fldCharType="begin"/>
              </w:r>
              <w:r>
                <w:rPr>
                  <w:sz w:val="28"/>
                  <w:szCs w:val="28"/>
                </w:rPr>
                <w:instrText xml:space="preserve">TOC \o "1-3" \h \u </w:instrText>
              </w:r>
              <w:r>
                <w:rPr>
                  <w:sz w:val="28"/>
                  <w:szCs w:val="28"/>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_Toc7829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一、部门（单位）概况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_Toc26038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（一）部门（单位）</w: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_Toc18312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基本情况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_Toc12226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（二）当年部门（单位）履职总体目标、工作任务</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_Toc15112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（三）当年部门（单位）年度整体支出绩效目标</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_Toc16098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（四）部门（单位）预算绩效管理开展情况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_Toc27908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（五）当年部门（单位）预算及执行情况。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10"/>
                <w:tabs>
                  <w:tab w:val="right" w:leader="dot" w:pos="8306"/>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_Toc11662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二、部门（单位）整体支出绩效实现情况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_Toc4300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（一）预算投入管理情况分析（30分）</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_Toc14115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（二）履职完成情况（25分）</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_Toc3678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（三）履职效果情况（30分）</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_Toc30153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（四）社会满意度方面（10分）</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10"/>
                <w:tabs>
                  <w:tab w:val="right" w:leader="dot" w:pos="8306"/>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_Toc6582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三、部门（单位）整体支出绩效中存在问题及改进措施</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25</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_Toc10015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（一）主要问题及原因分析</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_Toc11995 </w:instrText>
              </w:r>
              <w:r>
                <w:rPr>
                  <w:rFonts w:hint="eastAsia" w:ascii="仿宋" w:hAnsi="仿宋" w:eastAsia="仿宋" w:cs="仿宋"/>
                  <w:sz w:val="32"/>
                  <w:szCs w:val="32"/>
                </w:rPr>
                <w:fldChar w:fldCharType="separate"/>
              </w:r>
              <w:r>
                <w:rPr>
                  <w:rFonts w:hint="eastAsia" w:ascii="仿宋" w:hAnsi="仿宋" w:eastAsia="仿宋" w:cs="仿宋"/>
                  <w:sz w:val="32"/>
                  <w:szCs w:val="32"/>
                  <w:highlight w:val="none"/>
                  <w:lang w:val="en-US" w:eastAsia="zh-CN"/>
                </w:rPr>
                <w:t>（二）改进的方向和具体措施</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0"/>
                <w:tabs>
                  <w:tab w:val="right" w:leader="dot" w:pos="8306"/>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_Toc7829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四、绩效自评公开情况</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rPr>
                  <w:rFonts w:hint="eastAsia"/>
                  <w:lang w:val="en-US" w:eastAsia="zh-CN"/>
                </w:rPr>
              </w:pPr>
            </w:p>
            <w:p>
              <w:pPr>
                <w:rPr>
                  <w:rFonts w:hint="eastAsia"/>
                  <w:lang w:val="en-US" w:eastAsia="zh-CN"/>
                </w:rPr>
              </w:pPr>
            </w:p>
            <w:p/>
            <w:p>
              <w:pPr>
                <w:rPr>
                  <w:rFonts w:ascii="宋体" w:hAnsi="宋体" w:eastAsia="宋体" w:cstheme="minorBidi"/>
                  <w:kern w:val="2"/>
                  <w:sz w:val="28"/>
                  <w:szCs w:val="28"/>
                  <w:lang w:val="en-US" w:eastAsia="zh-CN" w:bidi="ar-SA"/>
                </w:rPr>
              </w:pPr>
              <w:r>
                <w:rPr>
                  <w:szCs w:val="28"/>
                </w:rPr>
                <w:fldChar w:fldCharType="end"/>
              </w:r>
            </w:p>
          </w:sdtContent>
        </w:sdt>
        <w:p>
          <w:pPr>
            <w:rPr>
              <w:rFonts w:ascii="宋体" w:hAnsi="宋体" w:eastAsia="宋体" w:cstheme="minorBidi"/>
              <w:kern w:val="2"/>
              <w:sz w:val="28"/>
              <w:szCs w:val="28"/>
              <w:lang w:val="en-US" w:eastAsia="zh-CN" w:bidi="ar-SA"/>
            </w:rPr>
          </w:pPr>
        </w:p>
      </w:sdtContent>
    </w:sdt>
    <w:p>
      <w:pPr>
        <w:rPr>
          <w:rFonts w:ascii="宋体" w:hAnsi="宋体" w:eastAsia="宋体" w:cstheme="minorBidi"/>
          <w:kern w:val="2"/>
          <w:sz w:val="28"/>
          <w:szCs w:val="28"/>
          <w:lang w:val="en-US" w:eastAsia="zh-CN" w:bidi="ar-SA"/>
        </w:rPr>
      </w:pPr>
    </w:p>
    <w:sdt>
      <w:sdtPr>
        <w:rPr>
          <w:rFonts w:ascii="宋体" w:hAnsi="宋体" w:eastAsia="宋体" w:cstheme="minorBidi"/>
          <w:kern w:val="2"/>
          <w:sz w:val="21"/>
          <w:szCs w:val="24"/>
          <w:lang w:val="en-US" w:eastAsia="zh-CN" w:bidi="ar-SA"/>
        </w:rPr>
        <w:id w:val="147460807"/>
        <w15:color w:val="DBDBDB"/>
        <w:docPartObj>
          <w:docPartGallery w:val="Table of Contents"/>
          <w:docPartUnique/>
        </w:docPartObj>
      </w:sdtPr>
      <w:sdtEndPr>
        <w:rPr>
          <w:rFonts w:ascii="宋体" w:hAnsi="宋体" w:eastAsia="宋体" w:cstheme="minorBidi"/>
          <w:kern w:val="2"/>
          <w:sz w:val="28"/>
          <w:szCs w:val="28"/>
          <w:lang w:val="en-US" w:eastAsia="zh-CN" w:bidi="ar-SA"/>
        </w:rPr>
      </w:sdtEndPr>
      <w:sdtContent>
        <w:p>
          <w:pPr>
            <w:pStyle w:val="6"/>
            <w:rPr>
              <w:rFonts w:hint="eastAsia" w:ascii="黑体" w:hAnsi="宋体" w:eastAsia="黑体" w:cs="黑体"/>
              <w:i w:val="0"/>
              <w:iCs w:val="0"/>
              <w:color w:val="000000"/>
              <w:kern w:val="0"/>
              <w:sz w:val="32"/>
              <w:szCs w:val="32"/>
              <w:u w:val="none"/>
              <w:lang w:val="en-US" w:eastAsia="zh-CN" w:bidi="ar"/>
            </w:rPr>
            <w:sectPr>
              <w:footerReference r:id="rId3" w:type="default"/>
              <w:pgSz w:w="11906" w:h="16838"/>
              <w:pgMar w:top="1440" w:right="1179" w:bottom="1440" w:left="1179" w:header="851" w:footer="992" w:gutter="0"/>
              <w:pgNumType w:start="1"/>
              <w:cols w:space="0" w:num="1"/>
              <w:rtlGutter w:val="0"/>
              <w:docGrid w:type="lines" w:linePitch="312" w:charSpace="0"/>
            </w:sectPr>
          </w:pPr>
        </w:p>
      </w:sdtContent>
    </w:sdt>
    <w:tbl>
      <w:tblPr>
        <w:tblStyle w:val="13"/>
        <w:tblW w:w="9546" w:type="dxa"/>
        <w:tblInd w:w="98" w:type="dxa"/>
        <w:shd w:val="clear" w:color="auto" w:fill="auto"/>
        <w:tblLayout w:type="fixed"/>
        <w:tblCellMar>
          <w:top w:w="0" w:type="dxa"/>
          <w:left w:w="108" w:type="dxa"/>
          <w:bottom w:w="0" w:type="dxa"/>
          <w:right w:w="108" w:type="dxa"/>
        </w:tblCellMar>
      </w:tblPr>
      <w:tblGrid>
        <w:gridCol w:w="9546"/>
      </w:tblGrid>
      <w:tr>
        <w:tblPrEx>
          <w:tblCellMar>
            <w:top w:w="0" w:type="dxa"/>
            <w:left w:w="108" w:type="dxa"/>
            <w:bottom w:w="0" w:type="dxa"/>
            <w:right w:w="108" w:type="dxa"/>
          </w:tblCellMar>
        </w:tblPrEx>
        <w:trPr>
          <w:trHeight w:val="499" w:hRule="atLeast"/>
        </w:trPr>
        <w:tc>
          <w:tcPr>
            <w:tcW w:w="954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附件7</w:t>
            </w:r>
          </w:p>
        </w:tc>
      </w:tr>
      <w:tr>
        <w:tblPrEx>
          <w:tblCellMar>
            <w:top w:w="0" w:type="dxa"/>
            <w:left w:w="108" w:type="dxa"/>
            <w:bottom w:w="0" w:type="dxa"/>
            <w:right w:w="108" w:type="dxa"/>
          </w:tblCellMar>
        </w:tblPrEx>
        <w:trPr>
          <w:trHeight w:val="900" w:hRule="atLeast"/>
        </w:trPr>
        <w:tc>
          <w:tcPr>
            <w:tcW w:w="95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黑体" w:hAnsi="黑体" w:eastAsia="黑体" w:cs="黑体"/>
                <w:i w:val="0"/>
                <w:iCs w:val="0"/>
                <w:color w:val="000000"/>
                <w:kern w:val="0"/>
                <w:sz w:val="36"/>
                <w:szCs w:val="36"/>
                <w:u w:val="none"/>
                <w:lang w:val="en-US" w:eastAsia="zh-CN" w:bidi="ar"/>
              </w:rPr>
              <w:t>部门（单位）整体支出绩效自评报告</w:t>
            </w:r>
          </w:p>
        </w:tc>
      </w:tr>
      <w:tr>
        <w:tblPrEx>
          <w:tblCellMar>
            <w:top w:w="0" w:type="dxa"/>
            <w:left w:w="108" w:type="dxa"/>
            <w:bottom w:w="0" w:type="dxa"/>
            <w:right w:w="108" w:type="dxa"/>
          </w:tblCellMar>
        </w:tblPrEx>
        <w:trPr>
          <w:trHeight w:val="420" w:hRule="atLeast"/>
        </w:trPr>
        <w:tc>
          <w:tcPr>
            <w:tcW w:w="95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32"/>
                <w:szCs w:val="32"/>
                <w:u w:val="none"/>
              </w:rPr>
            </w:pPr>
            <w:r>
              <w:rPr>
                <w:rFonts w:hint="default" w:ascii="仿宋_GB2312" w:hAnsi="宋体" w:eastAsia="仿宋_GB2312" w:cs="仿宋_GB2312"/>
                <w:i w:val="0"/>
                <w:iCs w:val="0"/>
                <w:color w:val="000000"/>
                <w:kern w:val="0"/>
                <w:sz w:val="32"/>
                <w:szCs w:val="32"/>
                <w:u w:val="none"/>
                <w:lang w:val="en-US" w:eastAsia="zh-CN" w:bidi="ar"/>
              </w:rPr>
              <w:t>（</w:t>
            </w:r>
            <w:r>
              <w:rPr>
                <w:rFonts w:hint="eastAsia" w:ascii="仿宋_GB2312" w:hAnsi="宋体" w:eastAsia="仿宋_GB2312" w:cs="仿宋_GB2312"/>
                <w:i w:val="0"/>
                <w:iCs w:val="0"/>
                <w:color w:val="000000"/>
                <w:kern w:val="0"/>
                <w:sz w:val="32"/>
                <w:szCs w:val="32"/>
                <w:u w:val="none"/>
                <w:lang w:val="en-US" w:eastAsia="zh-CN" w:bidi="ar"/>
              </w:rPr>
              <w:t>2021</w:t>
            </w:r>
            <w:r>
              <w:rPr>
                <w:rFonts w:hint="default" w:ascii="仿宋_GB2312" w:hAnsi="宋体" w:eastAsia="仿宋_GB2312" w:cs="仿宋_GB2312"/>
                <w:i w:val="0"/>
                <w:iCs w:val="0"/>
                <w:color w:val="000000"/>
                <w:kern w:val="0"/>
                <w:sz w:val="32"/>
                <w:szCs w:val="32"/>
                <w:u w:val="none"/>
                <w:lang w:val="en-US" w:eastAsia="zh-CN" w:bidi="ar"/>
              </w:rPr>
              <w:t>年度）</w:t>
            </w:r>
          </w:p>
        </w:tc>
      </w:tr>
      <w:tr>
        <w:tblPrEx>
          <w:tblCellMar>
            <w:top w:w="0" w:type="dxa"/>
            <w:left w:w="108" w:type="dxa"/>
            <w:bottom w:w="0" w:type="dxa"/>
            <w:right w:w="108" w:type="dxa"/>
          </w:tblCellMar>
        </w:tblPrEx>
        <w:trPr>
          <w:trHeight w:val="3750" w:hRule="atLeast"/>
        </w:trPr>
        <w:tc>
          <w:tcPr>
            <w:tcW w:w="9546" w:type="dxa"/>
            <w:tcBorders>
              <w:top w:val="nil"/>
              <w:left w:val="nil"/>
              <w:bottom w:val="nil"/>
              <w:right w:val="nil"/>
            </w:tcBorders>
            <w:shd w:val="clear" w:color="auto" w:fill="auto"/>
            <w:noWrap/>
            <w:vAlign w:val="center"/>
          </w:tcPr>
          <w:p>
            <w:pPr>
              <w:autoSpaceDE w:val="0"/>
              <w:spacing w:line="600" w:lineRule="exact"/>
              <w:ind w:left="180"/>
              <w:rPr>
                <w:rFonts w:ascii="仿宋_GB2312" w:eastAsia="仿宋_GB2312"/>
                <w:sz w:val="32"/>
                <w:szCs w:val="32"/>
              </w:rPr>
            </w:pPr>
            <w:r>
              <w:rPr>
                <w:rFonts w:hint="eastAsia" w:ascii="仿宋_GB2312" w:eastAsia="仿宋_GB2312"/>
                <w:sz w:val="32"/>
                <w:szCs w:val="32"/>
              </w:rPr>
              <w:t>宜春市财政局：</w:t>
            </w:r>
          </w:p>
          <w:p>
            <w:pPr>
              <w:autoSpaceDE w:val="0"/>
              <w:spacing w:line="600" w:lineRule="exact"/>
              <w:ind w:left="180" w:firstLine="640" w:firstLineChars="200"/>
              <w:rPr>
                <w:rFonts w:hint="default" w:ascii="仿宋_GB2312" w:hAnsi="宋体" w:eastAsia="仿宋_GB2312" w:cs="仿宋_GB2312"/>
                <w:i w:val="0"/>
                <w:iCs w:val="0"/>
                <w:color w:val="000000"/>
                <w:sz w:val="32"/>
                <w:szCs w:val="32"/>
                <w:u w:val="none"/>
              </w:rPr>
            </w:pPr>
            <w:r>
              <w:rPr>
                <w:rFonts w:hint="eastAsia" w:ascii="仿宋_GB2312" w:eastAsia="仿宋_GB2312"/>
                <w:sz w:val="32"/>
                <w:szCs w:val="32"/>
              </w:rPr>
              <w:t>根据《宜春市财政局关于</w:t>
            </w:r>
            <w:r>
              <w:rPr>
                <w:rFonts w:hint="eastAsia" w:ascii="仿宋_GB2312" w:eastAsia="仿宋_GB2312"/>
                <w:sz w:val="32"/>
                <w:szCs w:val="32"/>
                <w:lang w:val="en-US" w:eastAsia="zh-CN"/>
              </w:rPr>
              <w:t>市级部门开展部门自评及部门评价工作的通知</w:t>
            </w:r>
            <w:r>
              <w:rPr>
                <w:rFonts w:hint="eastAsia" w:ascii="仿宋_GB2312" w:eastAsia="仿宋_GB2312"/>
                <w:sz w:val="32"/>
                <w:szCs w:val="32"/>
              </w:rPr>
              <w:t>》（宜财绩【202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号）文件精神，为做好</w:t>
            </w:r>
            <w:r>
              <w:rPr>
                <w:rFonts w:hint="eastAsia" w:ascii="仿宋_GB2312" w:eastAsia="仿宋_GB2312"/>
                <w:sz w:val="32"/>
                <w:szCs w:val="32"/>
                <w:lang w:eastAsia="zh-CN"/>
              </w:rPr>
              <w:t>2021</w:t>
            </w:r>
            <w:r>
              <w:rPr>
                <w:rFonts w:hint="eastAsia" w:ascii="仿宋_GB2312" w:eastAsia="仿宋_GB2312"/>
                <w:sz w:val="32"/>
                <w:szCs w:val="32"/>
              </w:rPr>
              <w:t>年度市直部门整体支出预算绩效管理工作考核，宜春市自然资源局部门绩效评价组对宜春市自然资源局部门整体支出绩效管理工作进行了自评，现将评价结果报告如下：</w:t>
            </w:r>
          </w:p>
        </w:tc>
      </w:tr>
      <w:tr>
        <w:tblPrEx>
          <w:shd w:val="clear" w:color="auto" w:fill="auto"/>
          <w:tblCellMar>
            <w:top w:w="0" w:type="dxa"/>
            <w:left w:w="108" w:type="dxa"/>
            <w:bottom w:w="0" w:type="dxa"/>
            <w:right w:w="108" w:type="dxa"/>
          </w:tblCellMar>
        </w:tblPrEx>
        <w:trPr>
          <w:trHeight w:val="912" w:hRule="atLeast"/>
        </w:trPr>
        <w:tc>
          <w:tcPr>
            <w:tcW w:w="95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32"/>
                <w:szCs w:val="32"/>
                <w:u w:val="none"/>
              </w:rPr>
            </w:pPr>
            <w:r>
              <w:rPr>
                <w:rFonts w:hint="eastAsia" w:ascii="黑体" w:hAnsi="黑体" w:eastAsia="黑体" w:cs="黑体"/>
                <w:b/>
                <w:bCs/>
                <w:i w:val="0"/>
                <w:iCs w:val="0"/>
                <w:color w:val="000000"/>
                <w:kern w:val="0"/>
                <w:sz w:val="32"/>
                <w:szCs w:val="32"/>
                <w:u w:val="none"/>
                <w:lang w:val="en-US" w:eastAsia="zh-CN" w:bidi="ar"/>
              </w:rPr>
              <w:t>一、部门（单位）概况</w:t>
            </w:r>
          </w:p>
        </w:tc>
      </w:tr>
      <w:tr>
        <w:tblPrEx>
          <w:tblCellMar>
            <w:top w:w="0" w:type="dxa"/>
            <w:left w:w="108" w:type="dxa"/>
            <w:bottom w:w="0" w:type="dxa"/>
            <w:right w:w="108" w:type="dxa"/>
          </w:tblCellMar>
        </w:tblPrEx>
        <w:trPr>
          <w:trHeight w:val="1643" w:hRule="atLeast"/>
        </w:trPr>
        <w:tc>
          <w:tcPr>
            <w:tcW w:w="9546" w:type="dxa"/>
            <w:tcBorders>
              <w:top w:val="nil"/>
              <w:left w:val="nil"/>
              <w:bottom w:val="nil"/>
              <w:right w:val="nil"/>
            </w:tcBorders>
            <w:shd w:val="clear" w:color="auto" w:fill="auto"/>
            <w:vAlign w:val="center"/>
          </w:tcPr>
          <w:p>
            <w:pPr>
              <w:pStyle w:val="11"/>
              <w:tabs>
                <w:tab w:val="right" w:leader="dot" w:pos="8306"/>
              </w:tabs>
              <w:ind w:left="0" w:leftChars="0" w:firstLine="0" w:firstLineChars="0"/>
              <w:rPr>
                <w:rFonts w:hint="default" w:ascii="黑体" w:hAnsi="黑体" w:eastAsia="黑体" w:cs="黑体"/>
                <w:b/>
                <w:bCs/>
                <w:sz w:val="30"/>
                <w:szCs w:val="30"/>
                <w:lang w:val="en-US" w:eastAsia="zh-CN"/>
              </w:rPr>
            </w:pPr>
            <w:r>
              <w:rPr>
                <w:rFonts w:hint="eastAsia" w:ascii="黑体" w:hAnsi="黑体" w:eastAsia="黑体" w:cs="黑体"/>
                <w:b/>
                <w:bCs/>
                <w:sz w:val="30"/>
                <w:szCs w:val="30"/>
              </w:rPr>
              <w:fldChar w:fldCharType="begin"/>
            </w:r>
            <w:r>
              <w:rPr>
                <w:rFonts w:hint="eastAsia" w:ascii="黑体" w:hAnsi="黑体" w:eastAsia="黑体" w:cs="黑体"/>
                <w:b/>
                <w:bCs/>
                <w:sz w:val="30"/>
                <w:szCs w:val="30"/>
              </w:rPr>
              <w:instrText xml:space="preserve"> HYPERLINK \l _Toc26038 </w:instrText>
            </w:r>
            <w:r>
              <w:rPr>
                <w:rFonts w:hint="eastAsia" w:ascii="黑体" w:hAnsi="黑体" w:eastAsia="黑体" w:cs="黑体"/>
                <w:b/>
                <w:bCs/>
                <w:sz w:val="30"/>
                <w:szCs w:val="30"/>
              </w:rPr>
              <w:fldChar w:fldCharType="separate"/>
            </w:r>
            <w:r>
              <w:rPr>
                <w:rFonts w:hint="eastAsia" w:ascii="黑体" w:hAnsi="黑体" w:eastAsia="黑体" w:cs="黑体"/>
                <w:b/>
                <w:bCs/>
                <w:sz w:val="30"/>
                <w:szCs w:val="30"/>
                <w:lang w:val="en-US" w:eastAsia="zh-CN"/>
              </w:rPr>
              <w:t>（一）部门（单位）</w:t>
            </w:r>
            <w:r>
              <w:rPr>
                <w:rFonts w:hint="eastAsia" w:ascii="黑体" w:hAnsi="黑体" w:eastAsia="黑体" w:cs="黑体"/>
                <w:b/>
                <w:bCs/>
                <w:sz w:val="30"/>
                <w:szCs w:val="30"/>
              </w:rPr>
              <w:fldChar w:fldCharType="end"/>
            </w:r>
            <w:r>
              <w:rPr>
                <w:rFonts w:hint="eastAsia" w:ascii="黑体" w:hAnsi="黑体" w:eastAsia="黑体" w:cs="黑体"/>
                <w:b/>
                <w:bCs/>
                <w:sz w:val="30"/>
                <w:szCs w:val="30"/>
                <w:lang w:val="en-US" w:eastAsia="zh-CN"/>
              </w:rPr>
              <w:t>基本情况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1．主要职能。</w:t>
            </w:r>
          </w:p>
          <w:p>
            <w:pPr>
              <w:pStyle w:val="20"/>
              <w:keepNext w:val="0"/>
              <w:keepLines w:val="0"/>
              <w:pageBreakBefore w:val="0"/>
              <w:widowControl w:val="0"/>
              <w:shd w:val="clear" w:color="auto" w:fill="auto"/>
              <w:tabs>
                <w:tab w:val="left" w:pos="1575"/>
              </w:tabs>
              <w:kinsoku/>
              <w:wordWrap/>
              <w:overflowPunct/>
              <w:topLinePunct w:val="0"/>
              <w:autoSpaceDE/>
              <w:autoSpaceDN/>
              <w:bidi w:val="0"/>
              <w:adjustRightInd/>
              <w:snapToGrid/>
              <w:spacing w:before="0" w:after="0" w:line="579"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0" w:name="bookmark9"/>
            <w:r>
              <w:rPr>
                <w:rFonts w:hint="eastAsia" w:ascii="仿宋" w:hAnsi="仿宋" w:eastAsia="仿宋" w:cs="仿宋"/>
                <w:kern w:val="2"/>
                <w:sz w:val="30"/>
                <w:szCs w:val="30"/>
                <w:u w:val="none"/>
                <w:shd w:val="clear" w:color="auto" w:fill="auto"/>
                <w:lang w:val="en-US" w:eastAsia="zh-CN" w:bidi="ar-SA"/>
              </w:rPr>
              <w:t>（</w:t>
            </w:r>
            <w:bookmarkEnd w:id="0"/>
            <w:r>
              <w:rPr>
                <w:rFonts w:hint="eastAsia" w:ascii="仿宋" w:hAnsi="仿宋" w:eastAsia="仿宋" w:cs="仿宋"/>
                <w:kern w:val="2"/>
                <w:sz w:val="30"/>
                <w:szCs w:val="30"/>
                <w:u w:val="none"/>
                <w:shd w:val="clear" w:color="auto" w:fill="auto"/>
                <w:lang w:val="en-US" w:eastAsia="zh-CN" w:bidi="ar-SA"/>
              </w:rPr>
              <w:t>一）履行全民所有土地、矿产、森林、草原（草地）、湿地、水等自然资源资产所有者职责和所有国土空间用途管制职责。贯彻执行自然资源和国土空间规划及测绘等法律法规、地方性法规、规章，制定相关管理政策并监督执行。</w:t>
            </w:r>
          </w:p>
          <w:p>
            <w:pPr>
              <w:pStyle w:val="20"/>
              <w:keepNext w:val="0"/>
              <w:keepLines w:val="0"/>
              <w:pageBreakBefore w:val="0"/>
              <w:widowControl w:val="0"/>
              <w:shd w:val="clear" w:color="auto" w:fill="auto"/>
              <w:tabs>
                <w:tab w:val="left" w:pos="1580"/>
              </w:tabs>
              <w:kinsoku/>
              <w:wordWrap/>
              <w:overflowPunct/>
              <w:topLinePunct w:val="0"/>
              <w:autoSpaceDE/>
              <w:autoSpaceDN/>
              <w:bidi w:val="0"/>
              <w:adjustRightInd/>
              <w:snapToGrid/>
              <w:spacing w:before="0" w:after="0" w:line="579"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1" w:name="bookmark10"/>
            <w:r>
              <w:rPr>
                <w:rFonts w:hint="eastAsia" w:ascii="仿宋" w:hAnsi="仿宋" w:eastAsia="仿宋" w:cs="仿宋"/>
                <w:kern w:val="2"/>
                <w:sz w:val="30"/>
                <w:szCs w:val="30"/>
                <w:u w:val="none"/>
                <w:shd w:val="clear" w:color="auto" w:fill="auto"/>
                <w:lang w:val="en-US" w:eastAsia="zh-CN" w:bidi="ar-SA"/>
              </w:rPr>
              <w:t>（</w:t>
            </w:r>
            <w:bookmarkEnd w:id="1"/>
            <w:r>
              <w:rPr>
                <w:rFonts w:hint="eastAsia" w:ascii="仿宋" w:hAnsi="仿宋" w:eastAsia="仿宋" w:cs="仿宋"/>
                <w:kern w:val="2"/>
                <w:sz w:val="30"/>
                <w:szCs w:val="30"/>
                <w:u w:val="none"/>
                <w:shd w:val="clear" w:color="auto" w:fill="auto"/>
                <w:lang w:val="en-US" w:eastAsia="zh-CN" w:bidi="ar-SA"/>
              </w:rPr>
              <w:t>二）负责自然资源调查监测评价。贯彻执行全市自然资源调查监测评价的指标体系和统计标准，建立统一规范的自然资源调查监测评价制度。实施自然资源基础调查、专项调查和监测。负责自然资源调查监测评价成果的监督管理和信息发布。指导各 县市区自然资源调查监测评价工作。</w:t>
            </w:r>
          </w:p>
          <w:p>
            <w:pPr>
              <w:pStyle w:val="20"/>
              <w:keepNext w:val="0"/>
              <w:keepLines w:val="0"/>
              <w:pageBreakBefore w:val="0"/>
              <w:widowControl w:val="0"/>
              <w:shd w:val="clear" w:color="auto" w:fill="auto"/>
              <w:tabs>
                <w:tab w:val="left" w:pos="1554"/>
              </w:tabs>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2" w:name="bookmark11"/>
            <w:r>
              <w:rPr>
                <w:rFonts w:hint="eastAsia" w:ascii="仿宋" w:hAnsi="仿宋" w:eastAsia="仿宋" w:cs="仿宋"/>
                <w:kern w:val="2"/>
                <w:sz w:val="30"/>
                <w:szCs w:val="30"/>
                <w:u w:val="none"/>
                <w:shd w:val="clear" w:color="auto" w:fill="auto"/>
                <w:lang w:val="en-US" w:eastAsia="zh-CN" w:bidi="ar-SA"/>
              </w:rPr>
              <w:t>（</w:t>
            </w:r>
            <w:bookmarkEnd w:id="2"/>
            <w:r>
              <w:rPr>
                <w:rFonts w:hint="eastAsia" w:ascii="仿宋" w:hAnsi="仿宋" w:eastAsia="仿宋" w:cs="仿宋"/>
                <w:kern w:val="2"/>
                <w:sz w:val="30"/>
                <w:szCs w:val="30"/>
                <w:u w:val="none"/>
                <w:shd w:val="clear" w:color="auto" w:fill="auto"/>
                <w:lang w:val="en-US" w:eastAsia="zh-CN" w:bidi="ar-SA"/>
              </w:rPr>
              <w:t>三）负责自然资源统一确权登记工作。制定各类自然资源 和不动产统一确权登记、权籍调查、不动产测绘、争议调处、成 果应用的制度、标准、规范。建立健全全市自然资源和不动产登 记信息管理基础平台。负责自然资源和不动产登记资料收集、整 理、共享、汇交管理和市本级的不动产登记等。指导监督各县市 区自然资源和不动产确权登记工作。</w:t>
            </w:r>
          </w:p>
          <w:p>
            <w:pPr>
              <w:pStyle w:val="20"/>
              <w:keepNext w:val="0"/>
              <w:keepLines w:val="0"/>
              <w:pageBreakBefore w:val="0"/>
              <w:widowControl w:val="0"/>
              <w:shd w:val="clear" w:color="auto" w:fill="auto"/>
              <w:tabs>
                <w:tab w:val="left" w:pos="1554"/>
              </w:tabs>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3" w:name="bookmark12"/>
            <w:r>
              <w:rPr>
                <w:rFonts w:hint="eastAsia" w:ascii="仿宋" w:hAnsi="仿宋" w:eastAsia="仿宋" w:cs="仿宋"/>
                <w:kern w:val="2"/>
                <w:sz w:val="30"/>
                <w:szCs w:val="30"/>
                <w:u w:val="none"/>
                <w:shd w:val="clear" w:color="auto" w:fill="auto"/>
                <w:lang w:val="en-US" w:eastAsia="zh-CN" w:bidi="ar-SA"/>
              </w:rPr>
              <w:t>（</w:t>
            </w:r>
            <w:bookmarkEnd w:id="3"/>
            <w:r>
              <w:rPr>
                <w:rFonts w:hint="eastAsia" w:ascii="仿宋" w:hAnsi="仿宋" w:eastAsia="仿宋" w:cs="仿宋"/>
                <w:kern w:val="2"/>
                <w:sz w:val="30"/>
                <w:szCs w:val="30"/>
                <w:u w:val="none"/>
                <w:shd w:val="clear" w:color="auto" w:fill="auto"/>
                <w:lang w:val="en-US" w:eastAsia="zh-CN" w:bidi="ar-SA"/>
              </w:rPr>
              <w:t>四）负责自然资源资产有偿使用工作。贯彻执行全民所有 自然资源资产统计制度，负责全民所有自然资源资产核算。编制 全民所有自然资源资产负债表，拟订考核标准。执行全民所有自 然资产划拨、出让、租赁、作价出资和土地储备政策，合理配置 全民所有自然资源资产。负责自然资源资产价值评估管理，配合 财政部门依法收缴相关资产收益。</w:t>
            </w:r>
          </w:p>
          <w:p>
            <w:pPr>
              <w:pStyle w:val="20"/>
              <w:keepNext w:val="0"/>
              <w:keepLines w:val="0"/>
              <w:pageBreakBefore w:val="0"/>
              <w:widowControl w:val="0"/>
              <w:shd w:val="clear" w:color="auto" w:fill="auto"/>
              <w:tabs>
                <w:tab w:val="left" w:pos="1554"/>
              </w:tabs>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4" w:name="bookmark13"/>
            <w:r>
              <w:rPr>
                <w:rFonts w:hint="eastAsia" w:ascii="仿宋" w:hAnsi="仿宋" w:eastAsia="仿宋" w:cs="仿宋"/>
                <w:kern w:val="2"/>
                <w:sz w:val="30"/>
                <w:szCs w:val="30"/>
                <w:u w:val="none"/>
                <w:shd w:val="clear" w:color="auto" w:fill="auto"/>
                <w:lang w:val="en-US" w:eastAsia="zh-CN" w:bidi="ar-SA"/>
              </w:rPr>
              <w:t>（</w:t>
            </w:r>
            <w:bookmarkEnd w:id="4"/>
            <w:r>
              <w:rPr>
                <w:rFonts w:hint="eastAsia" w:ascii="仿宋" w:hAnsi="仿宋" w:eastAsia="仿宋" w:cs="仿宋"/>
                <w:kern w:val="2"/>
                <w:sz w:val="30"/>
                <w:szCs w:val="30"/>
                <w:u w:val="none"/>
                <w:shd w:val="clear" w:color="auto" w:fill="auto"/>
                <w:lang w:val="en-US" w:eastAsia="zh-CN" w:bidi="ar-SA"/>
              </w:rPr>
              <w:t>五）负责自然资源的合理开发利用。组织拟订自然资源发 展规划，制定自然资源开发利用标准并组织实施，建立政府公示 自然资源价格体系，组织开展自然资源分等定级价格评估，开展 自然资源利用评价考核，指导节约集约利用。负责自然资源市场 监管。组织研究自然资源管理涉及宏观调控、区域协调和城乡统 筹的政策措施。</w:t>
            </w:r>
          </w:p>
          <w:p>
            <w:pPr>
              <w:pStyle w:val="20"/>
              <w:keepNext w:val="0"/>
              <w:keepLines w:val="0"/>
              <w:pageBreakBefore w:val="0"/>
              <w:widowControl w:val="0"/>
              <w:shd w:val="clear" w:color="auto" w:fill="auto"/>
              <w:tabs>
                <w:tab w:val="left" w:pos="1554"/>
              </w:tabs>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5" w:name="bookmark14"/>
            <w:r>
              <w:rPr>
                <w:rFonts w:hint="eastAsia" w:ascii="仿宋" w:hAnsi="仿宋" w:eastAsia="仿宋" w:cs="仿宋"/>
                <w:kern w:val="2"/>
                <w:sz w:val="30"/>
                <w:szCs w:val="30"/>
                <w:u w:val="none"/>
                <w:shd w:val="clear" w:color="auto" w:fill="auto"/>
                <w:lang w:val="en-US" w:eastAsia="zh-CN" w:bidi="ar-SA"/>
              </w:rPr>
              <w:t>（</w:t>
            </w:r>
            <w:bookmarkEnd w:id="5"/>
            <w:r>
              <w:rPr>
                <w:rFonts w:hint="eastAsia" w:ascii="仿宋" w:hAnsi="仿宋" w:eastAsia="仿宋" w:cs="仿宋"/>
                <w:kern w:val="2"/>
                <w:sz w:val="30"/>
                <w:szCs w:val="30"/>
                <w:u w:val="none"/>
                <w:shd w:val="clear" w:color="auto" w:fill="auto"/>
                <w:lang w:val="en-US" w:eastAsia="zh-CN" w:bidi="ar-SA"/>
              </w:rPr>
              <w:t>六）负责建立空间规划体系并监督实施。组织编制并监督 实施国土空间规划和相关专项规划，中心城分区规划、详细规划、近期建设规划及城市设计，会同相关部门做好专项规划的编制工 作。负责全市城乡规划成果和规划建设成就的展示。开展资源环 境承载力和国土空间开发适宜性评价，建立国土空间规划实施监 测、评估和预警体系。组织划定永久基本农田、城镇开发边界等 控制线，构建节约资源和保护环境的生产、生活、生态空间布局。 指导全市并具体负责中心城区历史文化遗存普查和历史文化街区 划定、历史建筑确定工作。承担市城乡规划委员会的日常工作。</w:t>
            </w:r>
          </w:p>
          <w:p>
            <w:pPr>
              <w:pStyle w:val="20"/>
              <w:keepNext w:val="0"/>
              <w:keepLines w:val="0"/>
              <w:pageBreakBefore w:val="0"/>
              <w:widowControl w:val="0"/>
              <w:shd w:val="clear" w:color="auto" w:fill="auto"/>
              <w:tabs>
                <w:tab w:val="left" w:pos="1565"/>
              </w:tabs>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6" w:name="bookmark15"/>
            <w:r>
              <w:rPr>
                <w:rFonts w:hint="eastAsia" w:ascii="仿宋" w:hAnsi="仿宋" w:eastAsia="仿宋" w:cs="仿宋"/>
                <w:kern w:val="2"/>
                <w:sz w:val="30"/>
                <w:szCs w:val="30"/>
                <w:u w:val="none"/>
                <w:shd w:val="clear" w:color="auto" w:fill="auto"/>
                <w:lang w:val="en-US" w:eastAsia="zh-CN" w:bidi="ar-SA"/>
              </w:rPr>
              <w:t>（</w:t>
            </w:r>
            <w:bookmarkEnd w:id="6"/>
            <w:r>
              <w:rPr>
                <w:rFonts w:hint="eastAsia" w:ascii="仿宋" w:hAnsi="仿宋" w:eastAsia="仿宋" w:cs="仿宋"/>
                <w:kern w:val="2"/>
                <w:sz w:val="30"/>
                <w:szCs w:val="30"/>
                <w:u w:val="none"/>
                <w:shd w:val="clear" w:color="auto" w:fill="auto"/>
                <w:lang w:val="en-US" w:eastAsia="zh-CN" w:bidi="ar-SA"/>
              </w:rPr>
              <w:t>七）负责土地等国土空间用途转用工作。贯彻落实国土空 间用途管制制度。研究拟订城乡规划政策并监督实施。组织拟订 并实施土地等自然资源年度利用计划。负责土地征收征用管理。负 责中心城区城乡规划实施统一管理，包括主城区灵泉街道、凤凰街 道、湛郎街道、珠泉街道、化成街道、秀江街道、下浦街道、新康 府街道、官园街道、金园街道等10个街道，以及三阳镇、湖田镇、 渥江镇、温汤镇、南庙镇、洪江镇、芦村镇、新田镇、西村镇等9 个乡镇的全部行政管辖区域，依法对中心城区内各类建设项目的规 划选址、建设用地、建筑工程、市政管线、园林绿化和地下空间的 规划管理，核发《建设项目选址意见书》《建设用地规划许可证》《建 设工程规划许可证》；负责依法对中心城规划区内已审批的各类建 设工程进行批后规划管理，并实施规划条件核实。</w:t>
            </w:r>
          </w:p>
          <w:p>
            <w:pPr>
              <w:pStyle w:val="20"/>
              <w:keepNext w:val="0"/>
              <w:keepLines w:val="0"/>
              <w:pageBreakBefore w:val="0"/>
              <w:widowControl w:val="0"/>
              <w:shd w:val="clear" w:color="auto" w:fill="auto"/>
              <w:tabs>
                <w:tab w:val="left" w:pos="1565"/>
              </w:tabs>
              <w:kinsoku/>
              <w:wordWrap/>
              <w:overflowPunct/>
              <w:topLinePunct w:val="0"/>
              <w:autoSpaceDE/>
              <w:autoSpaceDN/>
              <w:bidi w:val="0"/>
              <w:adjustRightInd/>
              <w:snapToGrid/>
              <w:spacing w:before="0" w:after="0" w:line="578"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（八）负责指导和审查全市海绵城市建设、地下综合管廊、 城市双修、地下空间利用等规划。组织规划设计招标、方案评审。 负责中心城规划区内村镇规划编制及审查、农民建房的规划审批 和批后监管，核发《乡村建设规划许可证》。负责指导全市乡镇总 体规划、详细规划和村庄规划的编制与实施。指导特色小镇、历史文化名镇名村、传统村落保护规划工作。</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bookmarkStart w:id="7" w:name="bookmark17"/>
            <w:r>
              <w:rPr>
                <w:rFonts w:hint="eastAsia" w:ascii="仿宋" w:hAnsi="仿宋" w:eastAsia="仿宋" w:cs="仿宋"/>
                <w:kern w:val="2"/>
                <w:sz w:val="30"/>
                <w:szCs w:val="30"/>
                <w:u w:val="none"/>
                <w:shd w:val="clear" w:color="auto" w:fill="auto"/>
                <w:lang w:val="en-US" w:eastAsia="zh-CN" w:bidi="ar-SA"/>
              </w:rPr>
              <w:t>（</w:t>
            </w:r>
            <w:bookmarkEnd w:id="7"/>
            <w:r>
              <w:rPr>
                <w:rFonts w:hint="eastAsia" w:ascii="仿宋" w:hAnsi="仿宋" w:eastAsia="仿宋" w:cs="仿宋"/>
                <w:kern w:val="2"/>
                <w:sz w:val="30"/>
                <w:szCs w:val="30"/>
                <w:u w:val="none"/>
                <w:shd w:val="clear" w:color="auto" w:fill="auto"/>
                <w:lang w:val="en-US" w:eastAsia="zh-CN" w:bidi="ar-SA"/>
              </w:rPr>
              <w:t>九）负责统筹国土空间生态修复。牵头组织编制国土空间 生态修复规划并实施有关生态修复重大工程。负责国土空间综合 整治、土地整理复垦、矿山地质环境恢复治理、矿业遗迹保护等 工作。牵头建立和实施生态保护补偿等制度，制定合理利用社会 资金进行生态修复的政策措施，提出重大备选项目。</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（十）负责组织实施最严格的耕地保护制度。贯彻执行耕地 保护政策，负责耕地数量、质量、生态保护。组织实施耕地保护 责任目标考核和永久基本农田特殊保护。完善耕地占补平衡制度, 监督占用耕地补偿制度执行情况。</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1"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（十一）负责监督管理全市矿产勘查工作和地质工作。组织 落实市域地质勘查规划并监督检查执行情况。监督管理市级和省 自然资源厅委托监督管理的地质调查、矿产勘查项目，组织实施 市重大地质调查、矿产勘查专项。负责地质灾害预防和治理，监 测监管地下水过量开采、疏干及引发的地面沉降等地质问题。负 责古生物化石等地质遗迹的监督管理。</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1" w:lineRule="exact"/>
              <w:ind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 xml:space="preserve">（十二）负责落实综合防灾减灾规划相关要求，组织编制地 质灾害防治规划和年度工作方案并指导实施。组织指导协调和监 督地质灾害调查评价及隐患的普查、详查、排查。指导开展群测 群防、专业监测和预报预警等工作，指导开展地质灾害工程治理 工作。负责协调地质灾害应急救援的技术支撑工作。 </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1" w:lineRule="exact"/>
              <w:ind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（十三）负责矿产资源管理工作。负责权限内的矿产资源储 量管理及压覆矿产资源报批。负责矿业权管理。会同有关部门承 担保护性开采的特定矿种、优势矿产的调控及相关管理工作。监 督指导矿产资源合理利用和保护。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（十四）负责测绘地理信息管理工作。负责基础测绘和测绘行 业管理。负责测绘资质资格与信用管理，监督管理全市地理信息安 全和市场秩序。负责地理信息公共服务管理。负责测量标志保护。</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（十五）推动自然资源领域科技发展。制定并实施自然资源 领域科技创新发展和人才培养规划和计划。组织实施重大科技工 程及创新能力建设，推进自然资源信息化和信息资料的公共服务。 组织开展自然资源领域对外交流合作。</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（十六）根据市委、市政府授权，对地方政府落实关于自然 资源和国土空间规划的方针政策、决策部署及法律法规执行情况 进行督察。查处自然资源开发利用和国土空间规划及测绘重大违 法案件。指导全市有关行政执法工作。</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（十七）全市自然资源系统干部管理体制，按照</w:t>
            </w:r>
            <w:r>
              <w:rPr>
                <w:rFonts w:hint="eastAsia" w:ascii="仿宋" w:hAnsi="仿宋" w:eastAsia="仿宋" w:cs="仿宋"/>
                <w:kern w:val="2"/>
                <w:sz w:val="30"/>
                <w:szCs w:val="30"/>
                <w:u w:val="none"/>
                <w:shd w:val="clear" w:color="auto" w:fill="auto"/>
                <w:lang w:val="zh-CN" w:eastAsia="zh-CN" w:bidi="ar-SA"/>
              </w:rPr>
              <w:t>“分级</w:t>
            </w:r>
            <w:r>
              <w:rPr>
                <w:rFonts w:hint="eastAsia" w:ascii="仿宋" w:hAnsi="仿宋" w:eastAsia="仿宋" w:cs="仿宋"/>
                <w:kern w:val="2"/>
                <w:sz w:val="30"/>
                <w:szCs w:val="30"/>
                <w:u w:val="none"/>
                <w:shd w:val="clear" w:color="auto" w:fill="auto"/>
                <w:lang w:val="en-US" w:eastAsia="zh-CN" w:bidi="ar-SA"/>
              </w:rPr>
              <w:t>管理、 下管一级”的原则进行管理。实行双重领导，以上一级自然资源 主管部门党组管理为主，所在地党委协助管理。</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（十八）统一领导和管理市林业局。</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82" w:lineRule="exact"/>
              <w:ind w:left="0" w:right="0" w:firstLine="600" w:firstLineChars="200"/>
              <w:jc w:val="both"/>
              <w:textAlignment w:val="auto"/>
              <w:rPr>
                <w:rFonts w:hint="eastAsia" w:ascii="仿宋" w:hAnsi="仿宋" w:eastAsia="仿宋" w:cs="仿宋"/>
                <w:kern w:val="2"/>
                <w:sz w:val="30"/>
                <w:szCs w:val="30"/>
                <w:u w:val="none"/>
                <w:shd w:val="clear" w:color="auto" w:fill="auto"/>
                <w:lang w:val="en-US" w:eastAsia="zh-CN" w:bidi="ar-SA"/>
              </w:rPr>
            </w:pPr>
            <w:r>
              <w:rPr>
                <w:rFonts w:hint="eastAsia" w:ascii="仿宋" w:hAnsi="仿宋" w:eastAsia="仿宋" w:cs="仿宋"/>
                <w:kern w:val="2"/>
                <w:sz w:val="30"/>
                <w:szCs w:val="30"/>
                <w:u w:val="none"/>
                <w:shd w:val="clear" w:color="auto" w:fill="auto"/>
                <w:lang w:val="en-US" w:eastAsia="zh-CN" w:bidi="ar-SA"/>
              </w:rPr>
              <w:t>（十九）完成市委、市政府交办的其他任务。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u w:val="none"/>
                <w:shd w:val="clear" w:color="auto" w:fill="auto"/>
                <w:lang w:val="en-US" w:eastAsia="zh-CN" w:bidi="ar-SA"/>
              </w:rPr>
              <w:t>（二十）职能转变。市自然资源局要落实中央、省委省政府和市委市政府关于统一行使全民所有自然资源资产所有者职责， 统一行使所有国土空间用途管制和生态保护修复职责的要求，强 化统筹设计、发挥国土空间规划的管控作用，为保护和合理开发 利用自然资源提供科学指引。进一步加强自然资源的保护和合理 开发利用、建立健全源头保护和全过程修复治理相结合的工作机 制，实现整体保护、系统修复、综合治理。创新激励约束并举的 制度措施、推进自然资源节约集约利用。进一步精简下放有关行 政审批事项、强化监管力度，充分发挥市场对资源配置的决定性 作用，更好发挥政府作用，强化自然资源管理规则、标准、制度 的约束性作用，推进自然资源确权登记和评估的便民高效。</w:t>
            </w:r>
            <w:r>
              <w:rPr>
                <w:rFonts w:hint="eastAsia" w:ascii="仿宋" w:hAnsi="仿宋" w:eastAsia="仿宋" w:cs="仿宋"/>
                <w:sz w:val="30"/>
                <w:szCs w:val="30"/>
              </w:rPr>
              <w:t>按“三定”方案，设有秘书科、人事科、法规科、财务审计科、</w:t>
            </w:r>
            <w:r>
              <w:rPr>
                <w:rFonts w:hint="eastAsia" w:ascii="仿宋" w:hAnsi="仿宋" w:eastAsia="仿宋" w:cs="仿宋"/>
                <w:sz w:val="30"/>
                <w:szCs w:val="30"/>
                <w:lang w:eastAsia="zh-CN"/>
              </w:rPr>
              <w:t>自然资源调查监测</w:t>
            </w:r>
            <w:r>
              <w:rPr>
                <w:rFonts w:hint="eastAsia" w:ascii="仿宋" w:hAnsi="仿宋" w:eastAsia="仿宋" w:cs="仿宋"/>
                <w:sz w:val="30"/>
                <w:szCs w:val="30"/>
              </w:rPr>
              <w:t>科、</w:t>
            </w:r>
            <w:r>
              <w:rPr>
                <w:rFonts w:hint="eastAsia" w:ascii="仿宋" w:hAnsi="仿宋" w:eastAsia="仿宋" w:cs="仿宋"/>
                <w:sz w:val="30"/>
                <w:szCs w:val="30"/>
                <w:lang w:eastAsia="zh-CN"/>
              </w:rPr>
              <w:t>自然资源</w:t>
            </w:r>
            <w:r>
              <w:rPr>
                <w:rFonts w:hint="eastAsia" w:ascii="仿宋" w:hAnsi="仿宋" w:eastAsia="仿宋" w:cs="仿宋"/>
                <w:sz w:val="30"/>
                <w:szCs w:val="30"/>
              </w:rPr>
              <w:t>登记科、</w:t>
            </w:r>
            <w:r>
              <w:rPr>
                <w:rFonts w:hint="eastAsia" w:ascii="仿宋" w:hAnsi="仿宋" w:eastAsia="仿宋" w:cs="仿宋"/>
                <w:sz w:val="30"/>
                <w:szCs w:val="30"/>
                <w:lang w:eastAsia="zh-CN"/>
              </w:rPr>
              <w:t>自然资源所有权益</w:t>
            </w:r>
            <w:r>
              <w:rPr>
                <w:rFonts w:hint="eastAsia" w:ascii="仿宋" w:hAnsi="仿宋" w:eastAsia="仿宋" w:cs="仿宋"/>
                <w:sz w:val="30"/>
                <w:szCs w:val="30"/>
              </w:rPr>
              <w:t>科、</w:t>
            </w:r>
            <w:r>
              <w:rPr>
                <w:rFonts w:hint="eastAsia" w:ascii="仿宋" w:hAnsi="仿宋" w:eastAsia="仿宋" w:cs="仿宋"/>
                <w:sz w:val="30"/>
                <w:szCs w:val="30"/>
                <w:lang w:eastAsia="zh-CN"/>
              </w:rPr>
              <w:t>自然资源开发利用</w:t>
            </w:r>
            <w:r>
              <w:rPr>
                <w:rFonts w:hint="eastAsia" w:ascii="仿宋" w:hAnsi="仿宋" w:eastAsia="仿宋" w:cs="仿宋"/>
                <w:sz w:val="30"/>
                <w:szCs w:val="30"/>
              </w:rPr>
              <w:t>科、</w:t>
            </w:r>
            <w:r>
              <w:rPr>
                <w:rFonts w:hint="eastAsia" w:ascii="仿宋" w:hAnsi="仿宋" w:eastAsia="仿宋" w:cs="仿宋"/>
                <w:sz w:val="30"/>
                <w:szCs w:val="30"/>
                <w:lang w:eastAsia="zh-CN"/>
              </w:rPr>
              <w:t>国土空间规划</w:t>
            </w:r>
            <w:r>
              <w:rPr>
                <w:rFonts w:hint="eastAsia" w:ascii="仿宋" w:hAnsi="仿宋" w:eastAsia="仿宋" w:cs="仿宋"/>
                <w:sz w:val="30"/>
                <w:szCs w:val="30"/>
              </w:rPr>
              <w:t>科、</w:t>
            </w:r>
            <w:r>
              <w:rPr>
                <w:rFonts w:hint="eastAsia" w:ascii="仿宋" w:hAnsi="仿宋" w:eastAsia="仿宋" w:cs="仿宋"/>
                <w:sz w:val="30"/>
                <w:szCs w:val="30"/>
                <w:lang w:eastAsia="zh-CN"/>
              </w:rPr>
              <w:t>国土空间用途管制科、市政管线规划科、信访科、国土空间生态修复科、耕地保护和征地管理科、地质勘查管理科、矿业权管理科、科技与地理信息管理科、信息化建设办公室</w:t>
            </w:r>
            <w:r>
              <w:rPr>
                <w:rFonts w:hint="eastAsia" w:ascii="仿宋" w:hAnsi="仿宋" w:eastAsia="仿宋" w:cs="仿宋"/>
                <w:sz w:val="30"/>
                <w:szCs w:val="30"/>
              </w:rPr>
              <w:t>1</w:t>
            </w:r>
            <w:r>
              <w:rPr>
                <w:rFonts w:hint="eastAsia" w:ascii="仿宋" w:hAnsi="仿宋" w:eastAsia="仿宋" w:cs="仿宋"/>
                <w:sz w:val="30"/>
                <w:szCs w:val="30"/>
                <w:lang w:val="en-US" w:eastAsia="zh-CN"/>
              </w:rPr>
              <w:t>8</w:t>
            </w:r>
            <w:r>
              <w:rPr>
                <w:rFonts w:hint="eastAsia" w:ascii="仿宋" w:hAnsi="仿宋" w:eastAsia="仿宋" w:cs="仿宋"/>
                <w:sz w:val="30"/>
                <w:szCs w:val="30"/>
              </w:rPr>
              <w:t>个职能科（局）。</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default" w:ascii="仿宋_GB2312" w:hAnsi="宋体" w:eastAsia="仿宋_GB2312" w:cs="仿宋_GB2312"/>
                <w:b/>
                <w:bCs/>
                <w:i w:val="0"/>
                <w:iCs w:val="0"/>
                <w:color w:val="000000"/>
                <w:kern w:val="0"/>
                <w:sz w:val="30"/>
                <w:szCs w:val="30"/>
                <w:u w:val="none"/>
                <w:lang w:val="en-US" w:eastAsia="zh-CN" w:bidi="ar"/>
              </w:rPr>
            </w:pPr>
            <w:r>
              <w:rPr>
                <w:rFonts w:hint="eastAsia" w:ascii="仿宋_GB2312" w:hAnsi="宋体" w:eastAsia="仿宋_GB2312" w:cs="仿宋_GB2312"/>
                <w:b/>
                <w:bCs/>
                <w:i w:val="0"/>
                <w:iCs w:val="0"/>
                <w:color w:val="000000"/>
                <w:kern w:val="0"/>
                <w:sz w:val="30"/>
                <w:szCs w:val="30"/>
                <w:u w:val="none"/>
                <w:lang w:val="en-US" w:eastAsia="zh-CN" w:bidi="ar"/>
              </w:rPr>
              <w:t>2、人员情况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宋体" w:eastAsia="仿宋_GB2312" w:cs="仿宋_GB2312"/>
                <w:b/>
                <w:bCs/>
                <w:i w:val="0"/>
                <w:iCs w:val="0"/>
                <w:color w:val="000000"/>
                <w:kern w:val="0"/>
                <w:sz w:val="30"/>
                <w:szCs w:val="30"/>
                <w:u w:val="none"/>
                <w:lang w:val="en-US" w:eastAsia="zh-CN" w:bidi="ar"/>
              </w:rPr>
            </w:pPr>
            <w:r>
              <w:rPr>
                <w:rFonts w:hint="eastAsia" w:ascii="仿宋" w:hAnsi="仿宋" w:eastAsia="仿宋" w:cs="仿宋"/>
                <w:sz w:val="30"/>
                <w:szCs w:val="30"/>
              </w:rPr>
              <w:t>编制人数218人，其中：行政编制74人、事业执行公务员编制40人、全额事业编制84人、差额事业编制20人。实有人数333人，其中：在职人数215人，包括行政人员76人、事业执行公务员人员35人、全额事业人员84人、差额补助事业人员20人；退休人员118人。遗属长赡人员18人。</w:t>
            </w:r>
            <w:r>
              <w:rPr>
                <w:rFonts w:hint="eastAsia" w:ascii="仿宋_GB2312" w:hAnsi="宋体" w:eastAsia="仿宋_GB2312" w:cs="仿宋_GB2312"/>
                <w:b/>
                <w:bCs/>
                <w:i w:val="0"/>
                <w:iCs w:val="0"/>
                <w:color w:val="000000"/>
                <w:kern w:val="0"/>
                <w:sz w:val="30"/>
                <w:szCs w:val="30"/>
                <w:u w:val="none"/>
                <w:lang w:val="en-US" w:eastAsia="zh-CN" w:bidi="ar"/>
              </w:rPr>
              <w:t xml:space="preserve"> </w:t>
            </w:r>
            <w:bookmarkStart w:id="8" w:name="_Toc18912"/>
            <w:r>
              <w:rPr>
                <w:rFonts w:hint="eastAsia" w:ascii="仿宋_GB2312" w:hAnsi="宋体" w:eastAsia="仿宋_GB2312" w:cs="仿宋_GB2312"/>
                <w:b/>
                <w:bCs/>
                <w:i w:val="0"/>
                <w:iCs w:val="0"/>
                <w:color w:val="000000"/>
                <w:kern w:val="0"/>
                <w:sz w:val="30"/>
                <w:szCs w:val="30"/>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 w:hAnsi="仿宋" w:eastAsia="仿宋" w:cs="仿宋"/>
                <w:sz w:val="30"/>
                <w:szCs w:val="30"/>
                <w:lang w:val="en-US" w:eastAsia="zh-CN"/>
              </w:rPr>
            </w:pPr>
            <w:r>
              <w:rPr>
                <w:rFonts w:hint="eastAsia" w:ascii="仿宋_GB2312" w:hAnsi="宋体" w:eastAsia="仿宋_GB2312" w:cs="仿宋_GB2312"/>
                <w:b/>
                <w:bCs/>
                <w:i w:val="0"/>
                <w:iCs w:val="0"/>
                <w:color w:val="000000"/>
                <w:kern w:val="0"/>
                <w:sz w:val="30"/>
                <w:szCs w:val="30"/>
                <w:u w:val="none"/>
                <w:lang w:val="en-US" w:eastAsia="zh-CN" w:bidi="ar"/>
              </w:rPr>
              <w:t>3、部门（单位）资产情况</w:t>
            </w:r>
            <w:bookmarkEnd w:id="8"/>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截至2021年12月31日，我单位资产总额（账面净值，下同）2,654.9万元，较上年增长49.30%。负债总额154.66万元,较上年增长-9.44%。净资产2,500.24万元,较上年增长55.54%。</w:t>
            </w:r>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1.资产分布情况。</w:t>
            </w:r>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我部门/单位行政单位国有资产2,654.9万元，占100.00%；事业单位国有资产0万元，占0.00%，其中执行民间非营利组织会计制度的社会团体国有资产0万元，占0.00%。</w:t>
            </w:r>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2.资产构成情况。</w:t>
            </w:r>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流动资产2,006.57万元，较上年增长88.57%，占资产总额75.58%；固定资产648.33万元，较上年增长-9.21%，占资产总额24.42%；在建工程0万元，较上年增长%，占资产总额0.00%；长期投资0万元，占资产总额0.00%；无形资产0万元，较上年增长%，占资产总额0.00%；公共基础设施0万元，占资产总额0.00%；政府储备物资0万元，占资产总额0.00%；文物文化资产0万元，占资产总额0.00%；保障性住房0万元，占资产总额0.00%。</w:t>
            </w:r>
          </w:p>
          <w:p>
            <w:pPr>
              <w:pStyle w:val="12"/>
              <w:keepNext w:val="0"/>
              <w:keepLines w:val="0"/>
              <w:widowControl/>
              <w:suppressLineNumbers w:val="0"/>
              <w:spacing w:line="315" w:lineRule="atLeast"/>
              <w:ind w:left="0" w:firstLine="360"/>
              <w:jc w:val="left"/>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zh-TW" w:eastAsia="zh-TW" w:bidi="zh-TW"/>
              </w:rPr>
              <w:t>3.固定资产构成</w:t>
            </w:r>
            <w:r>
              <w:rPr>
                <w:rFonts w:hint="eastAsia" w:ascii="仿宋" w:hAnsi="仿宋" w:eastAsia="仿宋" w:cs="仿宋"/>
                <w:kern w:val="2"/>
                <w:sz w:val="30"/>
                <w:szCs w:val="30"/>
                <w:u w:val="none"/>
                <w:shd w:val="clear" w:color="auto" w:fill="auto"/>
                <w:lang w:val="en-US" w:eastAsia="zh-CN" w:bidi="zh-TW"/>
              </w:rPr>
              <w:t>和资产管理</w:t>
            </w:r>
            <w:r>
              <w:rPr>
                <w:rFonts w:hint="eastAsia" w:ascii="仿宋" w:hAnsi="仿宋" w:eastAsia="仿宋" w:cs="仿宋"/>
                <w:kern w:val="2"/>
                <w:sz w:val="30"/>
                <w:szCs w:val="30"/>
                <w:u w:val="none"/>
                <w:shd w:val="clear" w:color="auto" w:fill="auto"/>
                <w:lang w:val="zh-TW" w:eastAsia="zh-TW" w:bidi="zh-TW"/>
              </w:rPr>
              <w:t>情况。</w:t>
            </w:r>
          </w:p>
          <w:p>
            <w:pPr>
              <w:pStyle w:val="12"/>
              <w:keepNext w:val="0"/>
              <w:keepLines w:val="0"/>
              <w:widowControl/>
              <w:suppressLineNumbers w:val="0"/>
              <w:spacing w:line="315" w:lineRule="atLeast"/>
              <w:ind w:left="0" w:firstLine="300" w:firstLineChars="100"/>
              <w:rPr>
                <w:rFonts w:hint="eastAsia" w:ascii="仿宋" w:hAnsi="仿宋" w:eastAsia="仿宋" w:cs="仿宋"/>
                <w:kern w:val="2"/>
                <w:sz w:val="30"/>
                <w:szCs w:val="30"/>
                <w:u w:val="none"/>
                <w:shd w:val="clear" w:color="auto" w:fill="auto"/>
                <w:lang w:val="zh-TW" w:eastAsia="zh-TW" w:bidi="zh-TW"/>
              </w:rPr>
            </w:pPr>
            <w:r>
              <w:rPr>
                <w:rFonts w:hint="eastAsia" w:ascii="仿宋" w:hAnsi="仿宋" w:eastAsia="仿宋" w:cs="仿宋"/>
                <w:kern w:val="2"/>
                <w:sz w:val="30"/>
                <w:szCs w:val="30"/>
                <w:u w:val="none"/>
                <w:shd w:val="clear" w:color="auto" w:fill="auto"/>
                <w:lang w:val="en-US" w:eastAsia="zh-CN" w:bidi="zh-TW"/>
              </w:rPr>
              <w:t>固定资产构成情况：</w:t>
            </w:r>
            <w:r>
              <w:rPr>
                <w:rFonts w:hint="eastAsia" w:ascii="仿宋" w:hAnsi="仿宋" w:eastAsia="仿宋" w:cs="仿宋"/>
                <w:kern w:val="2"/>
                <w:sz w:val="30"/>
                <w:szCs w:val="30"/>
                <w:u w:val="none"/>
                <w:shd w:val="clear" w:color="auto" w:fill="auto"/>
                <w:lang w:val="zh-TW" w:eastAsia="zh-TW" w:bidi="zh-TW"/>
              </w:rPr>
              <w:t>土地、房屋及构筑物272.73万元，占固定资产的42.07%（其中，房屋272.73万元，占固定资产的42.07%）；通用设备297.02万元，占45.81%（其中，车辆0万元，占0.00%，单价50万（含）以上（不含车辆）设备168.51万元，占25.99%）；专用设备6.88万元，占1.06%（单价100万（含）以上设备0万元，占0.00%）；文物和陈列品0万元，占0.00%；图书档案0万元，占0.00%；家具、用具、装具及动植物71.7万元，占11.06%。</w:t>
            </w:r>
          </w:p>
          <w:p>
            <w:pPr>
              <w:pStyle w:val="12"/>
              <w:keepNext w:val="0"/>
              <w:keepLines w:val="0"/>
              <w:widowControl/>
              <w:suppressLineNumbers w:val="0"/>
              <w:spacing w:line="315" w:lineRule="atLeast"/>
              <w:ind w:left="0" w:firstLine="360"/>
              <w:jc w:val="left"/>
              <w:rPr>
                <w:rFonts w:hint="default" w:ascii="仿宋" w:hAnsi="仿宋" w:eastAsia="仿宋" w:cs="仿宋"/>
                <w:kern w:val="2"/>
                <w:sz w:val="30"/>
                <w:szCs w:val="30"/>
                <w:u w:val="none"/>
                <w:shd w:val="clear" w:color="auto" w:fill="auto"/>
                <w:lang w:val="zh-TW" w:eastAsia="zh-CN" w:bidi="zh-TW"/>
              </w:rPr>
            </w:pPr>
            <w:r>
              <w:rPr>
                <w:rFonts w:hint="eastAsia" w:ascii="仿宋" w:hAnsi="仿宋" w:eastAsia="仿宋" w:cs="仿宋"/>
                <w:kern w:val="2"/>
                <w:sz w:val="30"/>
                <w:szCs w:val="30"/>
                <w:u w:val="none"/>
                <w:shd w:val="clear" w:color="auto" w:fill="auto"/>
                <w:lang w:val="zh-TW" w:eastAsia="zh-TW" w:bidi="zh-TW"/>
              </w:rPr>
              <w:t>资产</w:t>
            </w:r>
            <w:r>
              <w:rPr>
                <w:rFonts w:hint="eastAsia" w:ascii="仿宋" w:hAnsi="仿宋" w:eastAsia="仿宋" w:cs="仿宋"/>
                <w:kern w:val="2"/>
                <w:sz w:val="30"/>
                <w:szCs w:val="30"/>
                <w:u w:val="none"/>
                <w:shd w:val="clear" w:color="auto" w:fill="auto"/>
                <w:lang w:val="en-US" w:eastAsia="zh-CN" w:bidi="zh-TW"/>
              </w:rPr>
              <w:t>管理</w:t>
            </w:r>
            <w:r>
              <w:rPr>
                <w:rFonts w:hint="eastAsia" w:ascii="仿宋" w:hAnsi="仿宋" w:eastAsia="仿宋" w:cs="仿宋"/>
                <w:kern w:val="2"/>
                <w:sz w:val="30"/>
                <w:szCs w:val="30"/>
                <w:u w:val="none"/>
                <w:shd w:val="clear" w:color="auto" w:fill="auto"/>
                <w:lang w:val="zh-TW" w:eastAsia="zh-TW" w:bidi="zh-TW"/>
              </w:rPr>
              <w:t>情况</w:t>
            </w:r>
            <w:r>
              <w:rPr>
                <w:rFonts w:hint="eastAsia" w:ascii="仿宋" w:hAnsi="仿宋" w:eastAsia="仿宋" w:cs="仿宋"/>
                <w:kern w:val="2"/>
                <w:sz w:val="30"/>
                <w:szCs w:val="30"/>
                <w:u w:val="none"/>
                <w:shd w:val="clear" w:color="auto" w:fill="auto"/>
                <w:lang w:val="zh-TW" w:eastAsia="zh-CN" w:bidi="zh-TW"/>
              </w:rPr>
              <w:t>：2021年度，我部门/单位配置固定资产42.31万元（账面原值，下同）。从资产类别分析，配置土地、房屋及构筑物0万元，占0.00%；配置通用设备8.6万元，占20.32%；配置专用设备6.71万元，占15.86%；配置文物和陈列品0万元，占0.00%；配置图书档案0万元，占0.00%；配置家具、用具、装具及动植物27万元，占63.82%。从配置方式分析，新购42.31万元，占100.00%；调拨0万元，占0.00%；接受捐赠0万元，占0.00%；置换0万元，占0.00%；其他方式新增0万元，占0.00%。</w:t>
            </w:r>
            <w:r>
              <w:rPr>
                <w:rFonts w:hint="default" w:ascii="仿宋" w:hAnsi="仿宋" w:eastAsia="仿宋" w:cs="仿宋"/>
                <w:kern w:val="2"/>
                <w:sz w:val="30"/>
                <w:szCs w:val="30"/>
                <w:u w:val="none"/>
                <w:shd w:val="clear" w:color="auto" w:fill="auto"/>
                <w:lang w:val="zh-TW" w:eastAsia="zh-CN" w:bidi="zh-TW"/>
              </w:rPr>
              <w:t>我部门/单位配置无形资产0万元。从资产类别分析，配置专利0万元，占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%；配置非专利技术0万元，占%；配置土地使用权0万元，占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%；配置计算机软件0万元，占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%。从配置方式分析，新购0万元，占%；调拨0万元，占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%；接受捐赠0万元，占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%；置换0万元，占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%；其他方式新增0万元，占</w:t>
            </w:r>
            <w:r>
              <w:rPr>
                <w:rFonts w:hint="eastAsia" w:ascii="仿宋" w:hAnsi="仿宋" w:eastAsia="仿宋" w:cs="仿宋"/>
                <w:kern w:val="2"/>
                <w:sz w:val="30"/>
                <w:szCs w:val="30"/>
                <w:u w:val="none"/>
                <w:shd w:val="clear" w:color="auto" w:fill="auto"/>
                <w:lang w:val="en-US" w:eastAsia="zh-CN" w:bidi="zh-TW"/>
              </w:rPr>
              <w:t>0</w:t>
            </w:r>
            <w:r>
              <w:rPr>
                <w:rFonts w:hint="default" w:ascii="仿宋" w:hAnsi="仿宋" w:eastAsia="仿宋" w:cs="仿宋"/>
                <w:kern w:val="2"/>
                <w:sz w:val="30"/>
                <w:szCs w:val="30"/>
                <w:u w:val="none"/>
                <w:shd w:val="clear" w:color="auto" w:fill="auto"/>
                <w:lang w:val="zh-TW" w:eastAsia="zh-CN" w:bidi="zh-TW"/>
              </w:rPr>
              <w:t>%。我部门/单位配置在建工程0万元。</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after="313" w:afterLines="100"/>
              <w:ind w:left="420" w:leftChars="0"/>
              <w:jc w:val="left"/>
              <w:textAlignment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（二）当年部门（单位）履职总体目标、工作任务。</w:t>
            </w:r>
          </w:p>
          <w:p>
            <w:pPr>
              <w:pStyle w:val="6"/>
              <w:widowControl w:val="0"/>
              <w:numPr>
                <w:ilvl w:val="0"/>
                <w:numId w:val="0"/>
              </w:numPr>
              <w:ind w:firstLine="600" w:firstLineChars="2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1.总体目标</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2021年，</w:t>
            </w:r>
            <w:r>
              <w:rPr>
                <w:rFonts w:hint="eastAsia" w:ascii="仿宋" w:hAnsi="仿宋" w:eastAsia="仿宋" w:cs="仿宋"/>
                <w:b w:val="0"/>
                <w:bCs/>
                <w:sz w:val="30"/>
                <w:szCs w:val="30"/>
                <w:lang w:val="en-US" w:eastAsia="zh-CN"/>
              </w:rPr>
              <w:t>宜春市自然资源局</w:t>
            </w:r>
            <w:r>
              <w:rPr>
                <w:rFonts w:hint="eastAsia" w:ascii="仿宋" w:hAnsi="仿宋" w:eastAsia="仿宋" w:cs="仿宋"/>
                <w:b w:val="0"/>
                <w:bCs/>
                <w:sz w:val="30"/>
                <w:szCs w:val="30"/>
              </w:rPr>
              <w:t>在市委、市政府和省自然资源厅的正确领导下，坚持以习近平新时代中国特色社会主义思想为指导，深入贯彻习近平生态文明思想、习近平总书记关于自然资源管理重要论述及十九大、十九届二中、三中、四中、五中、六中全会精神，突出“要素跟着项目走，服务围着项目转”的工作理念，统筹抓好“保发展、护资源、优空间、惠民生”各项工作，</w:t>
            </w:r>
            <w:r>
              <w:rPr>
                <w:rFonts w:hint="eastAsia" w:ascii="仿宋" w:hAnsi="仿宋" w:eastAsia="仿宋" w:cs="仿宋"/>
                <w:b w:val="0"/>
                <w:bCs/>
                <w:sz w:val="30"/>
                <w:szCs w:val="30"/>
                <w:lang w:val="en-US" w:eastAsia="zh-CN"/>
              </w:rPr>
              <w:t>努力实现以下工作目标：</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1.强化规划引领，空间布局更加优化</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2.精准配置资源，要素保障更加高效</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3.坚持生态优先，绿色发展更加凸显</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4.严格耕地保护，红线底线更加坚实</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5.落实调查登记，资源家底更加清晰</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6.节约集约用地，资源利用更加高效</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7.严肃执法监管，开发利用更加有序</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8.提升审批服务，营商环境更加优化</w:t>
            </w:r>
          </w:p>
          <w:p>
            <w:pPr>
              <w:pStyle w:val="6"/>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9.突出固本强基，队伍形象更加优良</w:t>
            </w:r>
          </w:p>
          <w:p>
            <w:pPr>
              <w:pStyle w:val="6"/>
              <w:ind w:firstLine="600" w:firstLineChars="200"/>
              <w:rPr>
                <w:rFonts w:hint="eastAsia" w:ascii="仿宋" w:hAnsi="宋体" w:eastAsia="仿宋" w:cs="宋体"/>
                <w:b/>
                <w:bCs/>
                <w:color w:val="000000"/>
                <w:kern w:val="0"/>
                <w:sz w:val="30"/>
                <w:szCs w:val="30"/>
              </w:rPr>
            </w:pPr>
            <w:r>
              <w:rPr>
                <w:rFonts w:hint="eastAsia" w:ascii="仿宋" w:hAnsi="宋体" w:eastAsia="仿宋" w:cs="宋体"/>
                <w:b/>
                <w:bCs/>
                <w:color w:val="000000"/>
                <w:kern w:val="0"/>
                <w:sz w:val="30"/>
                <w:szCs w:val="30"/>
                <w:lang w:val="en-US" w:eastAsia="zh-CN"/>
              </w:rPr>
              <w:t>2.</w:t>
            </w:r>
            <w:r>
              <w:rPr>
                <w:rFonts w:hint="eastAsia" w:ascii="仿宋" w:hAnsi="宋体" w:eastAsia="仿宋" w:cs="宋体"/>
                <w:b/>
                <w:bCs/>
                <w:color w:val="000000"/>
                <w:kern w:val="0"/>
                <w:sz w:val="30"/>
                <w:szCs w:val="30"/>
              </w:rPr>
              <w:t>工作任务</w:t>
            </w:r>
          </w:p>
          <w:p>
            <w:pPr>
              <w:pStyle w:val="6"/>
              <w:ind w:firstLine="420"/>
              <w:rPr>
                <w:rFonts w:hint="eastAsia" w:ascii="仿宋" w:hAnsi="仿宋" w:eastAsia="仿宋" w:cs="仿宋"/>
                <w:sz w:val="30"/>
                <w:szCs w:val="30"/>
              </w:rPr>
            </w:pPr>
            <w:r>
              <w:rPr>
                <w:rFonts w:hint="eastAsia" w:ascii="仿宋" w:hAnsi="仿宋" w:eastAsia="仿宋" w:cs="仿宋"/>
                <w:b w:val="0"/>
                <w:bCs/>
                <w:sz w:val="30"/>
                <w:szCs w:val="30"/>
                <w:lang w:val="en-US" w:eastAsia="zh-CN"/>
              </w:rPr>
              <w:t>1.</w:t>
            </w:r>
            <w:r>
              <w:rPr>
                <w:rFonts w:hint="eastAsia" w:ascii="仿宋" w:hAnsi="仿宋" w:eastAsia="仿宋" w:cs="仿宋"/>
                <w:sz w:val="30"/>
                <w:szCs w:val="30"/>
              </w:rPr>
              <w:t>稳步推进规划编制</w:t>
            </w:r>
            <w:r>
              <w:rPr>
                <w:rFonts w:hint="eastAsia" w:ascii="仿宋" w:hAnsi="仿宋" w:eastAsia="仿宋" w:cs="仿宋"/>
                <w:sz w:val="30"/>
                <w:szCs w:val="30"/>
                <w:lang w:eastAsia="zh-CN"/>
              </w:rPr>
              <w:t>，</w:t>
            </w:r>
            <w:r>
              <w:rPr>
                <w:rFonts w:hint="eastAsia" w:ascii="仿宋" w:hAnsi="仿宋" w:eastAsia="仿宋" w:cs="仿宋"/>
                <w:sz w:val="30"/>
                <w:szCs w:val="30"/>
              </w:rPr>
              <w:t>加强过渡期规划管理</w:t>
            </w:r>
            <w:r>
              <w:rPr>
                <w:rFonts w:hint="eastAsia" w:ascii="仿宋" w:hAnsi="仿宋" w:eastAsia="仿宋" w:cs="仿宋"/>
                <w:sz w:val="30"/>
                <w:szCs w:val="30"/>
                <w:lang w:eastAsia="zh-CN"/>
              </w:rPr>
              <w:t>，</w:t>
            </w:r>
            <w:r>
              <w:rPr>
                <w:rFonts w:hint="eastAsia" w:ascii="仿宋" w:hAnsi="仿宋" w:eastAsia="仿宋" w:cs="仿宋"/>
                <w:sz w:val="30"/>
                <w:szCs w:val="30"/>
              </w:rPr>
              <w:t>科学试划“三区三线”有序推进“平台系统”建设</w:t>
            </w:r>
            <w:r>
              <w:rPr>
                <w:rFonts w:hint="eastAsia" w:ascii="仿宋" w:hAnsi="仿宋" w:eastAsia="仿宋" w:cs="仿宋"/>
                <w:sz w:val="30"/>
                <w:szCs w:val="30"/>
                <w:lang w:eastAsia="zh-CN"/>
              </w:rPr>
              <w:t>，</w:t>
            </w:r>
            <w:r>
              <w:rPr>
                <w:rFonts w:hint="eastAsia" w:ascii="仿宋" w:hAnsi="仿宋" w:eastAsia="仿宋" w:cs="仿宋"/>
                <w:sz w:val="30"/>
                <w:szCs w:val="30"/>
              </w:rPr>
              <w:t>扎实做好专项规划编制。</w:t>
            </w:r>
          </w:p>
          <w:p>
            <w:pPr>
              <w:pStyle w:val="6"/>
              <w:ind w:firstLine="420"/>
              <w:rPr>
                <w:rFonts w:hint="eastAsia" w:ascii="仿宋" w:hAnsi="仿宋" w:eastAsia="仿宋" w:cs="仿宋"/>
                <w:caps/>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kern w:val="0"/>
                <w:sz w:val="30"/>
                <w:szCs w:val="30"/>
              </w:rPr>
              <w:t>积极出台用地用矿文件</w:t>
            </w:r>
            <w:r>
              <w:rPr>
                <w:rFonts w:hint="eastAsia" w:ascii="仿宋" w:hAnsi="仿宋" w:eastAsia="仿宋" w:cs="仿宋"/>
                <w:kern w:val="0"/>
                <w:sz w:val="30"/>
                <w:szCs w:val="30"/>
                <w:lang w:eastAsia="zh-CN"/>
              </w:rPr>
              <w:t>，做好我市重点矿种、重要成矿区的地质勘查工作，加大地质找矿力度，</w:t>
            </w:r>
            <w:r>
              <w:rPr>
                <w:rFonts w:hint="eastAsia" w:ascii="仿宋" w:hAnsi="仿宋" w:eastAsia="仿宋" w:cs="仿宋"/>
                <w:kern w:val="0"/>
                <w:sz w:val="30"/>
                <w:szCs w:val="30"/>
              </w:rPr>
              <w:t>保持土地市场稳定向好</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助力新能源产业发展。推乡村振兴坚持土地供应项目为王</w:t>
            </w:r>
            <w:r>
              <w:rPr>
                <w:rFonts w:hint="eastAsia" w:ascii="仿宋" w:hAnsi="仿宋" w:eastAsia="仿宋" w:cs="仿宋"/>
                <w:kern w:val="0"/>
                <w:sz w:val="30"/>
                <w:szCs w:val="30"/>
                <w:lang w:eastAsia="zh-CN"/>
              </w:rPr>
              <w:t>。</w:t>
            </w:r>
          </w:p>
          <w:p>
            <w:pPr>
              <w:pStyle w:val="6"/>
              <w:ind w:firstLine="420"/>
              <w:rPr>
                <w:rFonts w:hint="eastAsia" w:ascii="仿宋" w:hAnsi="仿宋" w:eastAsia="仿宋" w:cs="仿宋"/>
                <w:sz w:val="30"/>
                <w:szCs w:val="30"/>
                <w:lang w:eastAsia="zh-CN"/>
              </w:rPr>
            </w:pPr>
            <w:r>
              <w:rPr>
                <w:rFonts w:hint="eastAsia" w:ascii="仿宋" w:hAnsi="仿宋" w:eastAsia="仿宋" w:cs="仿宋"/>
                <w:caps/>
                <w:sz w:val="30"/>
                <w:szCs w:val="30"/>
                <w:lang w:val="en-US" w:eastAsia="zh-CN"/>
              </w:rPr>
              <w:t>3.</w:t>
            </w:r>
            <w:r>
              <w:rPr>
                <w:rFonts w:hint="eastAsia" w:ascii="仿宋" w:hAnsi="仿宋" w:eastAsia="仿宋" w:cs="仿宋"/>
                <w:sz w:val="30"/>
                <w:szCs w:val="30"/>
              </w:rPr>
              <w:t>全面推进全市矿山生态整治专项攻坚行动，开展矿山生态环境问题大排查大整治专项行动</w:t>
            </w:r>
            <w:r>
              <w:rPr>
                <w:rFonts w:hint="eastAsia" w:ascii="仿宋" w:hAnsi="仿宋" w:eastAsia="仿宋" w:cs="仿宋"/>
                <w:sz w:val="30"/>
                <w:szCs w:val="30"/>
                <w:lang w:eastAsia="zh-CN"/>
              </w:rPr>
              <w:t>，</w:t>
            </w:r>
            <w:r>
              <w:rPr>
                <w:rFonts w:hint="eastAsia" w:ascii="仿宋" w:hAnsi="仿宋" w:eastAsia="仿宋" w:cs="仿宋"/>
                <w:sz w:val="30"/>
                <w:szCs w:val="30"/>
              </w:rPr>
              <w:t>着力解决废弃矿山生态环境遗留问题</w:t>
            </w:r>
            <w:r>
              <w:rPr>
                <w:rFonts w:hint="eastAsia" w:ascii="仿宋" w:hAnsi="仿宋" w:eastAsia="仿宋" w:cs="仿宋"/>
                <w:sz w:val="30"/>
                <w:szCs w:val="30"/>
                <w:lang w:eastAsia="zh-CN"/>
              </w:rPr>
              <w:t>，</w:t>
            </w:r>
            <w:r>
              <w:rPr>
                <w:rFonts w:hint="eastAsia" w:ascii="仿宋" w:hAnsi="仿宋" w:eastAsia="仿宋" w:cs="仿宋"/>
                <w:sz w:val="30"/>
                <w:szCs w:val="30"/>
              </w:rPr>
              <w:t>有序开展历史遗留矿山核查工作,全面启动了辖区内历史遗留矿山核查工作，并依据核查成果建立标准统一、数据可靠的历史遗留矿山数据库</w:t>
            </w:r>
            <w:r>
              <w:rPr>
                <w:rFonts w:hint="eastAsia" w:ascii="仿宋" w:hAnsi="仿宋" w:eastAsia="仿宋" w:cs="仿宋"/>
                <w:sz w:val="30"/>
                <w:szCs w:val="30"/>
                <w:lang w:eastAsia="zh-CN"/>
              </w:rPr>
              <w:t>。</w:t>
            </w:r>
          </w:p>
          <w:p>
            <w:pPr>
              <w:pStyle w:val="6"/>
              <w:ind w:firstLine="420"/>
              <w:rPr>
                <w:rFonts w:hint="eastAsia" w:ascii="仿宋" w:hAnsi="仿宋" w:eastAsia="仿宋" w:cs="仿宋"/>
                <w:kern w:val="0"/>
                <w:sz w:val="30"/>
                <w:szCs w:val="30"/>
              </w:rPr>
            </w:pPr>
            <w:r>
              <w:rPr>
                <w:rFonts w:hint="eastAsia" w:ascii="仿宋" w:hAnsi="仿宋" w:eastAsia="仿宋" w:cs="仿宋"/>
                <w:sz w:val="30"/>
                <w:szCs w:val="30"/>
                <w:lang w:val="en-US" w:eastAsia="zh-CN"/>
              </w:rPr>
              <w:t>4.</w:t>
            </w:r>
            <w:r>
              <w:rPr>
                <w:rFonts w:hint="eastAsia" w:ascii="仿宋" w:hAnsi="仿宋" w:eastAsia="仿宋" w:cs="仿宋"/>
                <w:kern w:val="0"/>
                <w:sz w:val="30"/>
                <w:szCs w:val="30"/>
              </w:rPr>
              <w:t>有序推进土地开发项目</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扎实开展农村乱占耕地问题整治工作</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严格落实耕地占补平衡制度。</w:t>
            </w:r>
          </w:p>
          <w:p>
            <w:pPr>
              <w:pStyle w:val="6"/>
              <w:ind w:firstLine="420"/>
              <w:rPr>
                <w:rFonts w:hint="eastAsia" w:ascii="仿宋" w:hAnsi="仿宋" w:eastAsia="仿宋" w:cs="仿宋"/>
                <w:sz w:val="30"/>
                <w:szCs w:val="30"/>
                <w:lang w:eastAsia="zh-CN"/>
              </w:rPr>
            </w:pPr>
            <w:r>
              <w:rPr>
                <w:rFonts w:hint="eastAsia" w:ascii="仿宋" w:hAnsi="仿宋" w:eastAsia="仿宋" w:cs="仿宋"/>
                <w:kern w:val="0"/>
                <w:sz w:val="30"/>
                <w:szCs w:val="30"/>
                <w:lang w:val="en-US" w:eastAsia="zh-CN"/>
              </w:rPr>
              <w:t>5.</w:t>
            </w:r>
            <w:r>
              <w:rPr>
                <w:rFonts w:hint="eastAsia" w:ascii="仿宋" w:hAnsi="仿宋" w:eastAsia="仿宋" w:cs="仿宋"/>
                <w:sz w:val="30"/>
                <w:szCs w:val="30"/>
              </w:rPr>
              <w:t>稳步推进“三调”工作</w:t>
            </w:r>
            <w:r>
              <w:rPr>
                <w:rFonts w:hint="eastAsia" w:ascii="仿宋" w:hAnsi="仿宋" w:eastAsia="仿宋" w:cs="仿宋"/>
                <w:sz w:val="30"/>
                <w:szCs w:val="30"/>
                <w:lang w:eastAsia="zh-CN"/>
              </w:rPr>
              <w:t>，</w:t>
            </w:r>
            <w:r>
              <w:rPr>
                <w:rFonts w:hint="eastAsia" w:ascii="仿宋" w:hAnsi="仿宋" w:eastAsia="仿宋" w:cs="仿宋"/>
                <w:sz w:val="30"/>
                <w:szCs w:val="30"/>
              </w:rPr>
              <w:t>基本完成市级国土调查数据库及管理系统建设</w:t>
            </w:r>
            <w:r>
              <w:rPr>
                <w:rFonts w:hint="eastAsia" w:ascii="仿宋" w:hAnsi="仿宋" w:eastAsia="仿宋" w:cs="仿宋"/>
                <w:sz w:val="30"/>
                <w:szCs w:val="30"/>
                <w:lang w:eastAsia="zh-CN"/>
              </w:rPr>
              <w:t>，</w:t>
            </w:r>
            <w:r>
              <w:rPr>
                <w:rFonts w:hint="eastAsia" w:ascii="仿宋" w:hAnsi="仿宋" w:eastAsia="仿宋" w:cs="仿宋"/>
                <w:sz w:val="30"/>
                <w:szCs w:val="30"/>
              </w:rPr>
              <w:t>二是统筹推进耕地后备资源调查工作。全面完成耕地后备资源调查评价的外业调查工作，三是扎实推进农村房地一体确权登记</w:t>
            </w:r>
            <w:r>
              <w:rPr>
                <w:rFonts w:hint="eastAsia" w:ascii="仿宋" w:hAnsi="仿宋" w:eastAsia="仿宋" w:cs="仿宋"/>
                <w:sz w:val="30"/>
                <w:szCs w:val="30"/>
                <w:lang w:eastAsia="zh-CN"/>
              </w:rPr>
              <w:t>，</w:t>
            </w:r>
            <w:r>
              <w:rPr>
                <w:rFonts w:hint="eastAsia" w:ascii="仿宋" w:hAnsi="仿宋" w:eastAsia="仿宋" w:cs="仿宋"/>
                <w:sz w:val="30"/>
                <w:szCs w:val="30"/>
              </w:rPr>
              <w:t>完成矿产资源国情调查项目验收工作</w:t>
            </w:r>
            <w:r>
              <w:rPr>
                <w:rFonts w:hint="eastAsia" w:ascii="仿宋" w:hAnsi="仿宋" w:eastAsia="仿宋" w:cs="仿宋"/>
                <w:sz w:val="30"/>
                <w:szCs w:val="30"/>
                <w:lang w:eastAsia="zh-CN"/>
              </w:rPr>
              <w:t>。</w:t>
            </w:r>
          </w:p>
          <w:p>
            <w:pPr>
              <w:pStyle w:val="6"/>
              <w:ind w:firstLine="420"/>
              <w:rPr>
                <w:rFonts w:hint="eastAsia" w:ascii="仿宋" w:hAnsi="仿宋" w:eastAsia="仿宋" w:cs="仿宋"/>
                <w:kern w:val="0"/>
                <w:sz w:val="30"/>
                <w:szCs w:val="30"/>
                <w:lang w:val="zh-CN"/>
              </w:rPr>
            </w:pPr>
            <w:r>
              <w:rPr>
                <w:rFonts w:hint="eastAsia" w:ascii="仿宋" w:hAnsi="仿宋" w:eastAsia="仿宋" w:cs="仿宋"/>
                <w:sz w:val="30"/>
                <w:szCs w:val="30"/>
                <w:lang w:val="en-US" w:eastAsia="zh-CN"/>
              </w:rPr>
              <w:t>6.</w:t>
            </w:r>
            <w:r>
              <w:rPr>
                <w:rFonts w:hint="eastAsia" w:ascii="仿宋" w:hAnsi="仿宋" w:eastAsia="仿宋" w:cs="仿宋"/>
                <w:kern w:val="0"/>
                <w:sz w:val="30"/>
                <w:szCs w:val="30"/>
                <w:lang w:val="zh-CN"/>
              </w:rPr>
              <w:t>全面推进工业“标准地”出让工作，开展批而未用土地消化攻坚行动，大力推进闲置土地清理处置工作。</w:t>
            </w:r>
          </w:p>
          <w:p>
            <w:pPr>
              <w:pStyle w:val="6"/>
              <w:ind w:firstLine="420"/>
              <w:rPr>
                <w:rFonts w:hint="eastAsia" w:ascii="仿宋" w:hAnsi="仿宋" w:eastAsia="仿宋" w:cs="仿宋"/>
                <w:kern w:val="0"/>
                <w:sz w:val="30"/>
                <w:szCs w:val="30"/>
                <w:lang w:val="zh-CN"/>
              </w:rPr>
            </w:pPr>
            <w:r>
              <w:rPr>
                <w:rFonts w:hint="eastAsia" w:ascii="仿宋" w:hAnsi="仿宋" w:eastAsia="仿宋" w:cs="仿宋"/>
                <w:kern w:val="0"/>
                <w:sz w:val="30"/>
                <w:szCs w:val="30"/>
                <w:lang w:val="en-US" w:eastAsia="zh-CN"/>
              </w:rPr>
              <w:t>7.</w:t>
            </w:r>
            <w:r>
              <w:rPr>
                <w:rFonts w:hint="eastAsia" w:ascii="仿宋" w:hAnsi="仿宋" w:eastAsia="仿宋" w:cs="仿宋"/>
                <w:kern w:val="0"/>
                <w:sz w:val="30"/>
                <w:szCs w:val="30"/>
                <w:lang w:val="zh-CN"/>
              </w:rPr>
              <w:t>严肃执法监管，加强土地执法。开展专项整治行动：①大棚房清查整治；②WJBS清查整治；③农村乱占耕地建房问题清查整治工作。建立健全长效监管机制。</w:t>
            </w:r>
          </w:p>
          <w:p>
            <w:pPr>
              <w:pStyle w:val="6"/>
              <w:ind w:firstLine="42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推行不动产登记网上“一次办”、抵押登记进银行、自助移动查询服务、“外网申请、内网审核”，实现与税务、住建部门信息共享</w:t>
            </w:r>
            <w:r>
              <w:rPr>
                <w:rFonts w:hint="eastAsia" w:ascii="仿宋" w:hAnsi="仿宋" w:eastAsia="仿宋" w:cs="仿宋"/>
                <w:sz w:val="30"/>
                <w:szCs w:val="30"/>
                <w:lang w:eastAsia="zh-CN"/>
              </w:rPr>
              <w:t>，</w:t>
            </w:r>
            <w:r>
              <w:rPr>
                <w:rFonts w:hint="eastAsia" w:ascii="仿宋" w:hAnsi="仿宋" w:eastAsia="仿宋" w:cs="仿宋"/>
                <w:sz w:val="30"/>
                <w:szCs w:val="30"/>
              </w:rPr>
              <w:t>创新举措优化服务</w:t>
            </w:r>
            <w:r>
              <w:rPr>
                <w:rFonts w:hint="eastAsia" w:ascii="仿宋" w:hAnsi="仿宋" w:eastAsia="仿宋" w:cs="仿宋"/>
                <w:sz w:val="30"/>
                <w:szCs w:val="30"/>
                <w:lang w:eastAsia="zh-CN"/>
              </w:rPr>
              <w:t>，</w:t>
            </w:r>
            <w:r>
              <w:rPr>
                <w:rFonts w:hint="eastAsia" w:ascii="仿宋" w:hAnsi="仿宋" w:eastAsia="仿宋" w:cs="仿宋"/>
                <w:sz w:val="30"/>
                <w:szCs w:val="30"/>
              </w:rPr>
              <w:t>项目审批加速提速</w:t>
            </w:r>
            <w:r>
              <w:rPr>
                <w:rFonts w:hint="eastAsia" w:ascii="仿宋" w:hAnsi="仿宋" w:eastAsia="仿宋" w:cs="仿宋"/>
                <w:sz w:val="30"/>
                <w:szCs w:val="30"/>
                <w:lang w:eastAsia="zh-CN"/>
              </w:rPr>
              <w:t>，</w:t>
            </w:r>
            <w:r>
              <w:rPr>
                <w:rFonts w:hint="eastAsia" w:ascii="仿宋" w:hAnsi="仿宋" w:eastAsia="仿宋" w:cs="仿宋"/>
                <w:sz w:val="30"/>
                <w:szCs w:val="30"/>
              </w:rPr>
              <w:t>做好做优二级市场。</w:t>
            </w:r>
          </w:p>
          <w:p>
            <w:pPr>
              <w:pStyle w:val="6"/>
              <w:ind w:firstLine="420"/>
              <w:rPr>
                <w:rFonts w:hint="eastAsia" w:eastAsia="仿宋"/>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扎实推进支部标准化、规范化、信息化建设。筑牢廉政防线。按照全面从严治党要求，全面落实“两个责任”和局领导“一岗双责”，将党风廉政建设和反腐败工作纳入局务会、党组会议事日程</w:t>
            </w:r>
            <w:r>
              <w:rPr>
                <w:rFonts w:hint="eastAsia" w:ascii="仿宋" w:hAnsi="仿宋" w:eastAsia="仿宋" w:cs="仿宋"/>
                <w:sz w:val="30"/>
                <w:szCs w:val="30"/>
                <w:lang w:eastAsia="zh-CN"/>
              </w:rPr>
              <w:t>，</w:t>
            </w:r>
            <w:r>
              <w:rPr>
                <w:rFonts w:hint="eastAsia" w:ascii="仿宋" w:hAnsi="仿宋" w:eastAsia="仿宋" w:cs="仿宋"/>
                <w:sz w:val="30"/>
                <w:szCs w:val="30"/>
              </w:rPr>
              <w:t>是抓实干部管理。采取走出去与请进来相结合的方式强化干部教育，积极组织系统干部参加部、省、市三级举办的国土资源管理业务培训、党校科级干部轮训等各类培训</w:t>
            </w:r>
            <w:r>
              <w:rPr>
                <w:rFonts w:hint="eastAsia" w:ascii="仿宋" w:hAnsi="仿宋" w:eastAsia="仿宋" w:cs="仿宋"/>
                <w:sz w:val="30"/>
                <w:szCs w:val="30"/>
                <w:lang w:eastAsia="zh-CN"/>
              </w:rPr>
              <w:t>。</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469" w:beforeLines="150" w:after="469" w:afterLines="150"/>
              <w:ind w:left="420" w:leftChars="0"/>
              <w:jc w:val="left"/>
              <w:textAlignment w:val="center"/>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（三）当年部门（单位）年度整体支出绩效目标。</w:t>
            </w:r>
          </w:p>
          <w:p>
            <w:pPr>
              <w:pStyle w:val="6"/>
              <w:widowControl w:val="0"/>
              <w:numPr>
                <w:ilvl w:val="0"/>
                <w:numId w:val="0"/>
              </w:numPr>
              <w:ind w:firstLine="600" w:firstLineChars="200"/>
              <w:jc w:val="both"/>
              <w:rPr>
                <w:rFonts w:hint="default"/>
                <w:lang w:val="en-US"/>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2021</w:t>
            </w:r>
            <w:r>
              <w:rPr>
                <w:rFonts w:hint="eastAsia" w:ascii="仿宋" w:hAnsi="仿宋" w:eastAsia="仿宋" w:cs="仿宋"/>
                <w:sz w:val="30"/>
                <w:szCs w:val="30"/>
              </w:rPr>
              <w:t>年宜春市</w:t>
            </w:r>
            <w:r>
              <w:rPr>
                <w:rFonts w:hint="eastAsia" w:ascii="仿宋" w:hAnsi="仿宋" w:eastAsia="仿宋" w:cs="仿宋"/>
                <w:sz w:val="30"/>
                <w:szCs w:val="30"/>
                <w:lang w:eastAsia="zh-CN"/>
              </w:rPr>
              <w:t>自然资源</w:t>
            </w:r>
            <w:r>
              <w:rPr>
                <w:rFonts w:hint="eastAsia" w:ascii="仿宋" w:hAnsi="仿宋" w:eastAsia="仿宋" w:cs="仿宋"/>
                <w:sz w:val="30"/>
                <w:szCs w:val="30"/>
              </w:rPr>
              <w:t>局整体支出规模为</w:t>
            </w:r>
            <w:r>
              <w:rPr>
                <w:rFonts w:hint="eastAsia" w:ascii="仿宋" w:hAnsi="仿宋" w:eastAsia="仿宋"/>
                <w:sz w:val="30"/>
                <w:szCs w:val="30"/>
                <w:lang w:val="en-US" w:eastAsia="zh-CN"/>
              </w:rPr>
              <w:t>16418.22</w:t>
            </w:r>
            <w:r>
              <w:rPr>
                <w:rFonts w:hint="eastAsia" w:ascii="仿宋" w:hAnsi="仿宋" w:eastAsia="仿宋" w:cs="仿宋"/>
                <w:sz w:val="30"/>
                <w:szCs w:val="30"/>
              </w:rPr>
              <w:t>万元，主要为</w:t>
            </w:r>
            <w:r>
              <w:rPr>
                <w:rFonts w:hint="eastAsia" w:ascii="仿宋" w:hAnsi="仿宋" w:eastAsia="仿宋" w:cs="仿宋"/>
                <w:sz w:val="30"/>
                <w:szCs w:val="30"/>
                <w:lang w:eastAsia="zh-CN"/>
              </w:rPr>
              <w:t>：</w:t>
            </w:r>
            <w:r>
              <w:rPr>
                <w:rFonts w:hint="eastAsia" w:ascii="仿宋" w:hAnsi="仿宋" w:eastAsia="仿宋" w:cs="仿宋"/>
                <w:sz w:val="30"/>
                <w:szCs w:val="30"/>
              </w:rPr>
              <w:t>用于基本支出</w:t>
            </w:r>
            <w:r>
              <w:rPr>
                <w:rFonts w:hint="eastAsia" w:ascii="仿宋" w:hAnsi="仿宋" w:eastAsia="仿宋"/>
                <w:sz w:val="30"/>
                <w:szCs w:val="30"/>
                <w:lang w:val="en-US" w:eastAsia="zh-CN"/>
              </w:rPr>
              <w:t>4880.81</w:t>
            </w:r>
            <w:r>
              <w:rPr>
                <w:rFonts w:hint="eastAsia" w:ascii="仿宋" w:hAnsi="仿宋" w:eastAsia="仿宋" w:cs="仿宋"/>
                <w:sz w:val="30"/>
                <w:szCs w:val="30"/>
              </w:rPr>
              <w:t>万元，包括工资福利支出</w:t>
            </w:r>
            <w:r>
              <w:rPr>
                <w:rFonts w:hint="eastAsia" w:ascii="仿宋" w:hAnsi="仿宋" w:eastAsia="仿宋" w:cs="仿宋"/>
                <w:sz w:val="30"/>
                <w:szCs w:val="30"/>
                <w:lang w:val="en-US" w:eastAsia="zh-CN"/>
              </w:rPr>
              <w:t>4063.70</w:t>
            </w:r>
            <w:r>
              <w:rPr>
                <w:rFonts w:hint="eastAsia" w:ascii="仿宋" w:hAnsi="仿宋" w:eastAsia="仿宋" w:cs="仿宋"/>
                <w:sz w:val="30"/>
                <w:szCs w:val="30"/>
              </w:rPr>
              <w:t>万元、商品和服务支出</w:t>
            </w:r>
            <w:r>
              <w:rPr>
                <w:rFonts w:hint="eastAsia" w:ascii="仿宋" w:hAnsi="仿宋" w:eastAsia="仿宋" w:cs="仿宋"/>
                <w:sz w:val="30"/>
                <w:szCs w:val="30"/>
                <w:lang w:val="en-US" w:eastAsia="zh-CN"/>
              </w:rPr>
              <w:t>551.04</w:t>
            </w:r>
            <w:r>
              <w:rPr>
                <w:rFonts w:hint="eastAsia" w:ascii="仿宋" w:hAnsi="仿宋" w:eastAsia="仿宋" w:cs="仿宋"/>
                <w:sz w:val="30"/>
                <w:szCs w:val="30"/>
              </w:rPr>
              <w:t>万元，</w:t>
            </w:r>
            <w:r>
              <w:rPr>
                <w:rFonts w:hint="eastAsia" w:ascii="仿宋" w:hAnsi="仿宋" w:eastAsia="仿宋" w:cs="仿宋"/>
                <w:sz w:val="30"/>
                <w:szCs w:val="30"/>
                <w:lang w:val="en-US" w:eastAsia="zh-CN"/>
              </w:rPr>
              <w:t>对家庭补助266.07万元；</w:t>
            </w:r>
            <w:r>
              <w:rPr>
                <w:rFonts w:hint="eastAsia" w:ascii="仿宋" w:hAnsi="仿宋" w:eastAsia="仿宋" w:cs="仿宋"/>
                <w:sz w:val="30"/>
                <w:szCs w:val="30"/>
              </w:rPr>
              <w:t>项目支出</w:t>
            </w:r>
            <w:r>
              <w:rPr>
                <w:rFonts w:hint="eastAsia" w:ascii="仿宋" w:hAnsi="仿宋" w:eastAsia="仿宋" w:cs="仿宋"/>
                <w:sz w:val="30"/>
                <w:szCs w:val="30"/>
                <w:lang w:val="en-US" w:eastAsia="zh-CN"/>
              </w:rPr>
              <w:t>11537.41</w:t>
            </w:r>
            <w:r>
              <w:rPr>
                <w:rFonts w:hint="eastAsia" w:ascii="仿宋" w:hAnsi="仿宋" w:eastAsia="仿宋" w:cs="仿宋"/>
                <w:sz w:val="30"/>
                <w:szCs w:val="30"/>
              </w:rPr>
              <w:t>万元，包括</w:t>
            </w:r>
            <w:r>
              <w:rPr>
                <w:rFonts w:hint="eastAsia" w:ascii="仿宋" w:hAnsi="仿宋" w:eastAsia="仿宋" w:cs="仿宋"/>
                <w:sz w:val="30"/>
                <w:szCs w:val="30"/>
                <w:highlight w:val="none"/>
                <w:lang w:val="en-US" w:eastAsia="zh-CN"/>
              </w:rPr>
              <w:t>不动产登记网硌安全等级测评工作经费2.79</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val="en-US" w:eastAsia="zh-CN"/>
              </w:rPr>
              <w:t>赣服通3.0及互联网+系统网络安全经费160.36万元，市财政出资地质勘查项目工作经费6000万元。市政公用设施配套费126万元，宜春市生态红线评估优化成果技术审核费工作经费18万元，宜春市城市建设用地节约集约利用评价工作经费72.9万元，数字化档案馆建设经费7.00万元，矿山资源储备量报告评审费6.3724.82万元，天地图更新工作经费24.82万元。市级耕地后备资源调查评价工作经费4100万元，全市矿产资源国情调查工作经费10.8万元，农村集体土地确权登记发证项目经费115.61万元，绿色矿山评估项目经费42.67万元，市县基础测绘“十四五”规划编制工作经费26.00万元，宜春市本级“三区”第三次国土调查经费19.92万元，第三次全国国土调查市级信息管理系统建设经费28.80万元，宜春市国土变更调查市级核查汇总工作经费108.5万元，地质灾害专群监测建设工作经费649.60万元。</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469" w:beforeLines="150" w:after="469" w:afterLines="150"/>
              <w:ind w:left="420" w:leftChars="0"/>
              <w:jc w:val="left"/>
              <w:textAlignment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（四）部门（单位）预算绩效管理开展情况。</w:t>
            </w:r>
          </w:p>
          <w:p>
            <w:pPr>
              <w:pStyle w:val="12"/>
              <w:keepNext w:val="0"/>
              <w:keepLines w:val="0"/>
              <w:widowControl/>
              <w:suppressLineNumbers w:val="0"/>
              <w:spacing w:line="430" w:lineRule="atLeast"/>
              <w:ind w:left="0" w:firstLine="43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制度保障：依据《宜春市财政局关于开展2021年度部门整体支出绩效评价工作的通知》等文件要求，对绩效管理工作提出了整体要求，主要内容包括：绩效目标管理、绩效运行跟踪监控管理、绩效完成情况评价、绩效评价结果运用等。明确了实施步骤及保障措施等。</w:t>
            </w:r>
          </w:p>
          <w:p>
            <w:pPr>
              <w:pStyle w:val="12"/>
              <w:keepNext w:val="0"/>
              <w:keepLines w:val="0"/>
              <w:widowControl/>
              <w:suppressLineNumbers w:val="0"/>
              <w:spacing w:line="430" w:lineRule="atLeast"/>
              <w:ind w:left="0" w:firstLine="43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良好成效：完成了2020年项目资金绩效评价、2020年部门整体支出绩效评价、2021年度绩效监控、2021年项目支出绩效目标管理申报、2021年部门整体支出绩效目标管理等绩效管理工作；在宜春市自然资源局上公开了2020年项目资金绩效评价报告。绩效工作具体开展情况如下：</w:t>
            </w:r>
          </w:p>
          <w:p>
            <w:pPr>
              <w:pStyle w:val="12"/>
              <w:keepNext w:val="0"/>
              <w:keepLines w:val="0"/>
              <w:widowControl/>
              <w:suppressLineNumbers w:val="0"/>
              <w:spacing w:line="430" w:lineRule="atLeast"/>
              <w:ind w:left="0" w:firstLine="43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对2020年度实施项目的财政资金投入运行情况，包括目标设定、目标完成、组织管理水平、实施成效等进行评价分析，并总结存在的问题，促进各项政策和措施的全面落实，不断提高财政资金绩效管理水平。</w:t>
            </w:r>
          </w:p>
          <w:p>
            <w:pPr>
              <w:pStyle w:val="12"/>
              <w:keepNext w:val="0"/>
              <w:keepLines w:val="0"/>
              <w:widowControl/>
              <w:suppressLineNumbers w:val="0"/>
              <w:spacing w:line="430" w:lineRule="atLeast"/>
              <w:ind w:left="0" w:firstLine="430"/>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t>开展了</w:t>
            </w:r>
            <w:r>
              <w:rPr>
                <w:rFonts w:hint="eastAsia" w:ascii="仿宋" w:hAnsi="仿宋" w:eastAsia="仿宋" w:cs="仿宋"/>
                <w:sz w:val="30"/>
                <w:szCs w:val="30"/>
                <w:lang w:val="en-US" w:eastAsia="zh-CN"/>
              </w:rPr>
              <w:t>2020</w:t>
            </w:r>
            <w:r>
              <w:rPr>
                <w:rFonts w:hint="default" w:ascii="仿宋" w:hAnsi="仿宋" w:eastAsia="仿宋" w:cs="仿宋"/>
                <w:sz w:val="30"/>
                <w:szCs w:val="30"/>
                <w:lang w:val="en-US" w:eastAsia="zh-CN"/>
              </w:rPr>
              <w:t>年度整体支出绩效评价工作</w:t>
            </w:r>
            <w:r>
              <w:rPr>
                <w:rFonts w:hint="eastAsia" w:ascii="仿宋" w:hAnsi="仿宋" w:eastAsia="仿宋" w:cs="仿宋"/>
                <w:sz w:val="30"/>
                <w:szCs w:val="30"/>
                <w:lang w:val="en-US" w:eastAsia="zh-CN"/>
              </w:rPr>
              <w:t>，对财政资金投入运行情况，包括目标设定、目标完成、组织管理水平、实施成效等进行评价分析，并总结出存在的问题，促进各项政策和措施的全面落实，不断提高财政资金绩效管理水平。</w:t>
            </w:r>
          </w:p>
          <w:p>
            <w:pPr>
              <w:pStyle w:val="12"/>
              <w:keepNext w:val="0"/>
              <w:keepLines w:val="0"/>
              <w:widowControl/>
              <w:suppressLineNumbers w:val="0"/>
              <w:spacing w:line="430" w:lineRule="atLeast"/>
              <w:ind w:left="0" w:firstLine="43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编制2021年度项目支出绩效目标申报表。对项目的功能进行梳理，依据项目的功能特性，预计所要达到的产出和效果，概括、提炼出最能反映项目预期实现程度的关键性指标，予以细化、量化，将其确定为相应的绩效指标，清晰反映预算资金的预期产出和效果，以提高财政资金使用的科学性、规范性和有效性。</w:t>
            </w:r>
          </w:p>
          <w:p>
            <w:pPr>
              <w:pStyle w:val="12"/>
              <w:keepNext w:val="0"/>
              <w:keepLines w:val="0"/>
              <w:widowControl/>
              <w:suppressLineNumbers w:val="0"/>
              <w:spacing w:line="430" w:lineRule="atLeast"/>
              <w:ind w:left="0" w:firstLine="43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按照预算绩效管理有关规定，对照2021年项目绩效目标，对2021年实施项目的执行过程以及资金使用和管理情况进行绩效运行监控，以便及时掌握项目绩效目标的完成情况及资金支出进度。针对项目绩效运行监控中发现的问题，向问题项目相关实施单位下发了问题整改通知，提出了改进措施，并要求其出具整改计划，切实发挥项目运行监控的作用。</w:t>
            </w:r>
          </w:p>
          <w:p>
            <w:pPr>
              <w:pStyle w:val="12"/>
              <w:keepNext w:val="0"/>
              <w:keepLines w:val="0"/>
              <w:widowControl/>
              <w:suppressLineNumbers w:val="0"/>
              <w:spacing w:line="430" w:lineRule="atLeast"/>
              <w:ind w:left="0" w:firstLine="43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对单位部门整体及所属单位按照确定的职责，运用全部财政资金在一定期限内预期达到的总体产出和效果，概括、提炼出最能反映项目预期实现程度的关键性指标，予以细化、量化，将其确定为相应的绩效指标，清晰反映预算资金的预期产出和效果，</w:t>
            </w:r>
            <w:r>
              <w:rPr>
                <w:rFonts w:hint="eastAsia" w:ascii="仿宋" w:hAnsi="仿宋" w:eastAsia="仿宋" w:cs="仿宋"/>
                <w:sz w:val="30"/>
                <w:szCs w:val="30"/>
                <w:lang w:val="en-US" w:eastAsia="zh-CN"/>
              </w:rPr>
              <w:t>编制2021年度部门整体绩效目标申报表，以</w:t>
            </w:r>
            <w:r>
              <w:rPr>
                <w:rFonts w:hint="default" w:ascii="仿宋" w:hAnsi="仿宋" w:eastAsia="仿宋" w:cs="仿宋"/>
                <w:sz w:val="30"/>
                <w:szCs w:val="30"/>
                <w:lang w:val="en-US" w:eastAsia="zh-CN"/>
              </w:rPr>
              <w:t>提高财政资金使用的科学性、规范性和有效性。</w:t>
            </w:r>
          </w:p>
          <w:p>
            <w:pPr>
              <w:pStyle w:val="6"/>
              <w:widowControl w:val="0"/>
              <w:numPr>
                <w:ilvl w:val="0"/>
                <w:numId w:val="0"/>
              </w:numPr>
              <w:jc w:val="both"/>
              <w:rPr>
                <w:rFonts w:hint="default"/>
              </w:rPr>
            </w:pP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widowControl/>
              <w:numPr>
                <w:ilvl w:val="0"/>
                <w:numId w:val="0"/>
              </w:numPr>
              <w:suppressLineNumbers w:val="0"/>
              <w:ind w:left="420" w:leftChars="0"/>
              <w:jc w:val="left"/>
              <w:textAlignment w:val="center"/>
              <w:rPr>
                <w:rFonts w:hint="eastAsia" w:ascii="楷体" w:hAnsi="楷体" w:eastAsia="楷体" w:cs="楷体"/>
                <w:sz w:val="32"/>
                <w:szCs w:val="32"/>
                <w:lang w:val="en-US" w:eastAsia="zh-CN"/>
              </w:rPr>
            </w:pPr>
            <w:r>
              <w:rPr>
                <w:rFonts w:hint="eastAsia" w:ascii="黑体" w:hAnsi="黑体" w:eastAsia="黑体" w:cs="黑体"/>
                <w:b/>
                <w:bCs/>
                <w:sz w:val="30"/>
                <w:szCs w:val="30"/>
                <w:lang w:val="en-US" w:eastAsia="zh-CN"/>
              </w:rPr>
              <w:t>（五）当年部门（单位）预算及执行情况。</w:t>
            </w:r>
            <w:bookmarkStart w:id="9" w:name="_Toc30080"/>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2" w:firstLineChars="200"/>
              <w:jc w:val="left"/>
              <w:textAlignment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1、部门预算收支情况</w:t>
            </w:r>
            <w:bookmarkEnd w:id="9"/>
          </w:p>
          <w:p>
            <w:pPr>
              <w:pStyle w:val="12"/>
              <w:keepNext w:val="0"/>
              <w:keepLines w:val="0"/>
              <w:pageBreakBefore w:val="0"/>
              <w:widowControl/>
              <w:suppressLineNumbers w:val="0"/>
              <w:kinsoku/>
              <w:wordWrap/>
              <w:overflowPunct/>
              <w:topLinePunct w:val="0"/>
              <w:autoSpaceDE/>
              <w:autoSpaceDN/>
              <w:bidi w:val="0"/>
              <w:adjustRightInd/>
              <w:snapToGrid/>
              <w:spacing w:line="430" w:lineRule="atLeast"/>
              <w:ind w:left="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2021</w:t>
            </w:r>
            <w:r>
              <w:rPr>
                <w:rFonts w:hint="eastAsia" w:ascii="仿宋" w:hAnsi="仿宋" w:eastAsia="仿宋" w:cs="仿宋"/>
                <w:sz w:val="30"/>
                <w:szCs w:val="30"/>
              </w:rPr>
              <w:t>年收入预算总额为</w:t>
            </w:r>
            <w:r>
              <w:rPr>
                <w:rFonts w:hint="eastAsia" w:ascii="仿宋" w:hAnsi="仿宋" w:eastAsia="仿宋" w:cs="仿宋"/>
                <w:sz w:val="30"/>
                <w:szCs w:val="30"/>
                <w:lang w:val="en-US" w:eastAsia="zh-CN"/>
              </w:rPr>
              <w:t>4234.53</w:t>
            </w:r>
            <w:r>
              <w:rPr>
                <w:rFonts w:hint="eastAsia" w:ascii="仿宋" w:hAnsi="仿宋" w:eastAsia="仿宋" w:cs="仿宋"/>
                <w:sz w:val="30"/>
                <w:szCs w:val="30"/>
              </w:rPr>
              <w:t>万元，其中：</w:t>
            </w:r>
            <w:r>
              <w:rPr>
                <w:rFonts w:hint="eastAsia" w:ascii="仿宋" w:hAnsi="仿宋" w:eastAsia="仿宋" w:cs="仿宋"/>
                <w:sz w:val="30"/>
                <w:szCs w:val="30"/>
                <w:lang w:val="en-US" w:eastAsia="zh-CN"/>
              </w:rPr>
              <w:t>一般公共预算</w:t>
            </w:r>
            <w:r>
              <w:rPr>
                <w:rFonts w:hint="eastAsia" w:ascii="仿宋" w:hAnsi="仿宋" w:eastAsia="仿宋" w:cs="仿宋"/>
                <w:sz w:val="30"/>
                <w:szCs w:val="30"/>
              </w:rPr>
              <w:t>财政拨款收入</w:t>
            </w:r>
            <w:r>
              <w:rPr>
                <w:rFonts w:hint="eastAsia" w:ascii="仿宋" w:hAnsi="仿宋" w:eastAsia="仿宋" w:cs="仿宋"/>
                <w:sz w:val="30"/>
                <w:szCs w:val="30"/>
                <w:lang w:val="en-US" w:eastAsia="zh-CN"/>
              </w:rPr>
              <w:t>4234.53</w:t>
            </w:r>
            <w:r>
              <w:rPr>
                <w:rFonts w:hint="eastAsia" w:ascii="仿宋" w:hAnsi="仿宋" w:eastAsia="仿宋" w:cs="仿宋"/>
                <w:sz w:val="30"/>
                <w:szCs w:val="30"/>
              </w:rPr>
              <w:t>万元，占收入预算总额的</w:t>
            </w:r>
            <w:r>
              <w:rPr>
                <w:rFonts w:hint="eastAsia" w:ascii="仿宋" w:hAnsi="仿宋" w:eastAsia="仿宋" w:cs="仿宋"/>
                <w:sz w:val="30"/>
                <w:szCs w:val="30"/>
                <w:lang w:val="en-US" w:eastAsia="zh-CN"/>
              </w:rPr>
              <w:t>97.02</w:t>
            </w:r>
            <w:r>
              <w:rPr>
                <w:rFonts w:hint="eastAsia" w:ascii="仿宋" w:hAnsi="仿宋" w:eastAsia="仿宋" w:cs="仿宋"/>
                <w:sz w:val="30"/>
                <w:szCs w:val="30"/>
              </w:rPr>
              <w:t>%。</w:t>
            </w:r>
            <w:r>
              <w:rPr>
                <w:rFonts w:hint="eastAsia" w:ascii="仿宋" w:hAnsi="仿宋" w:eastAsia="仿宋" w:cs="仿宋"/>
                <w:sz w:val="30"/>
                <w:szCs w:val="30"/>
                <w:lang w:val="en-US" w:eastAsia="zh-CN"/>
              </w:rPr>
              <w:t>政府性基金预算收入126.00万元，</w:t>
            </w:r>
            <w:r>
              <w:rPr>
                <w:rFonts w:hint="eastAsia" w:ascii="仿宋" w:hAnsi="仿宋" w:eastAsia="仿宋" w:cs="仿宋"/>
                <w:sz w:val="30"/>
                <w:szCs w:val="30"/>
              </w:rPr>
              <w:t>占收入预算总额的</w:t>
            </w:r>
            <w:r>
              <w:rPr>
                <w:rFonts w:hint="eastAsia" w:ascii="仿宋" w:hAnsi="仿宋" w:eastAsia="仿宋" w:cs="仿宋"/>
                <w:sz w:val="30"/>
                <w:szCs w:val="30"/>
                <w:lang w:val="en-US" w:eastAsia="zh-CN"/>
              </w:rPr>
              <w:t>2.98%</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经营收入0万元，</w:t>
            </w:r>
            <w:r>
              <w:rPr>
                <w:rFonts w:hint="eastAsia" w:ascii="仿宋" w:hAnsi="仿宋" w:eastAsia="仿宋" w:cs="仿宋"/>
                <w:sz w:val="30"/>
                <w:szCs w:val="30"/>
              </w:rPr>
              <w:t>占收入预算总额的</w:t>
            </w:r>
            <w:r>
              <w:rPr>
                <w:rFonts w:hint="eastAsia" w:ascii="仿宋" w:hAnsi="仿宋" w:eastAsia="仿宋" w:cs="仿宋"/>
                <w:sz w:val="30"/>
                <w:szCs w:val="30"/>
                <w:lang w:val="en-US" w:eastAsia="zh-CN"/>
              </w:rPr>
              <w:t>0%。</w:t>
            </w:r>
          </w:p>
          <w:p>
            <w:pPr>
              <w:pStyle w:val="12"/>
              <w:keepNext w:val="0"/>
              <w:keepLines w:val="0"/>
              <w:pageBreakBefore w:val="0"/>
              <w:widowControl/>
              <w:suppressLineNumbers w:val="0"/>
              <w:kinsoku/>
              <w:wordWrap/>
              <w:overflowPunct/>
              <w:topLinePunct w:val="0"/>
              <w:autoSpaceDE/>
              <w:autoSpaceDN/>
              <w:bidi w:val="0"/>
              <w:adjustRightInd/>
              <w:snapToGrid/>
              <w:spacing w:line="360" w:lineRule="atLeast"/>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①按支出性质划分：基本支出3504.13万元，项目支出730.40万元。</w:t>
            </w:r>
          </w:p>
          <w:p>
            <w:pPr>
              <w:keepNext w:val="0"/>
              <w:keepLines w:val="0"/>
              <w:pageBreakBefore w:val="0"/>
              <w:widowControl w:val="0"/>
              <w:kinsoku/>
              <w:wordWrap/>
              <w:overflowPunct/>
              <w:topLinePunct w:val="0"/>
              <w:autoSpaceDE/>
              <w:autoSpaceDN/>
              <w:bidi w:val="0"/>
              <w:adjustRightInd/>
              <w:snapToGrid/>
              <w:spacing w:after="469" w:afterLines="150" w:line="520" w:lineRule="exact"/>
              <w:ind w:firstLine="600" w:firstLineChars="200"/>
              <w:jc w:val="left"/>
              <w:textAlignment w:val="auto"/>
              <w:rPr>
                <w:rFonts w:hint="default"/>
                <w:lang w:val="en-US"/>
              </w:rPr>
            </w:pPr>
            <w:r>
              <w:rPr>
                <w:rFonts w:hint="eastAsia" w:ascii="仿宋" w:hAnsi="仿宋" w:eastAsia="仿宋" w:cs="仿宋"/>
                <w:sz w:val="30"/>
                <w:szCs w:val="30"/>
                <w:lang w:val="en-US" w:eastAsia="zh-CN"/>
              </w:rPr>
              <w:t>②按支出功能科目划分：</w:t>
            </w:r>
            <w:r>
              <w:rPr>
                <w:rFonts w:hint="eastAsia" w:ascii="仿宋" w:hAnsi="仿宋" w:eastAsia="仿宋" w:cs="仿宋"/>
                <w:sz w:val="30"/>
                <w:szCs w:val="30"/>
              </w:rPr>
              <w:t>一般公共服务</w:t>
            </w:r>
            <w:r>
              <w:rPr>
                <w:rFonts w:hint="eastAsia" w:ascii="仿宋" w:hAnsi="仿宋" w:eastAsia="仿宋" w:cs="仿宋"/>
                <w:sz w:val="30"/>
                <w:szCs w:val="30"/>
                <w:lang w:val="en-US" w:eastAsia="zh-CN"/>
              </w:rPr>
              <w:t>8.3</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社会保障和就业支出525.16万元，城乡社区支出126万元，自然资源海洋气象等支出3408.14万元，住房保障支出166.93万元。</w:t>
            </w:r>
          </w:p>
          <w:p>
            <w:pPr>
              <w:pStyle w:val="5"/>
              <w:jc w:val="center"/>
              <w:rPr>
                <w:rFonts w:hint="default"/>
                <w:color w:val="auto"/>
                <w:highlight w:val="none"/>
                <w:lang w:val="en-US" w:eastAsia="zh-CN"/>
              </w:rPr>
            </w:pPr>
            <w:r>
              <w:t xml:space="preserve">表 </w:t>
            </w:r>
            <w:r>
              <w:rPr>
                <w:rFonts w:hint="eastAsia"/>
                <w:lang w:val="en-US" w:eastAsia="zh-CN"/>
              </w:rPr>
              <w:t>1    2021年度宜春市自然资源局预算收支情况表</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260"/>
              <w:gridCol w:w="1185"/>
              <w:gridCol w:w="351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849"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资金情况类别</w:t>
                  </w:r>
                </w:p>
              </w:tc>
              <w:tc>
                <w:tcPr>
                  <w:tcW w:w="1673"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预算收入</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本年收入</w:t>
                  </w: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default" w:ascii="仿宋" w:hAnsi="仿宋" w:cs="仿宋"/>
                      <w:b/>
                      <w:bCs/>
                      <w:color w:val="auto"/>
                      <w:sz w:val="24"/>
                      <w:szCs w:val="21"/>
                      <w:highlight w:val="none"/>
                      <w:vertAlign w:val="baseline"/>
                      <w:lang w:val="en-US" w:eastAsia="zh-CN"/>
                    </w:rPr>
                    <w:t>一般公共预算财政拨款收入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政府性基金预算收入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经营收入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小计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年初结转结余</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预算支出</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按支出性质划分</w:t>
                  </w: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基本支出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3504.13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项目支出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730.40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5955"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按支出功能科目划分</w:t>
                  </w: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社会保障和就业支出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525.16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一般公共服务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自然资源海洋气象等支出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3408.14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住房保障支出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城乡社区支出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p>
              </w:tc>
              <w:tc>
                <w:tcPr>
                  <w:tcW w:w="5955"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bl>
          <w:p>
            <w:pPr>
              <w:pStyle w:val="4"/>
              <w:numPr>
                <w:ilvl w:val="0"/>
                <w:numId w:val="0"/>
              </w:numPr>
              <w:bidi w:val="0"/>
              <w:ind w:firstLine="642" w:firstLineChars="200"/>
              <w:rPr>
                <w:rFonts w:hint="eastAsia" w:ascii="楷体" w:hAnsi="楷体" w:eastAsia="楷体" w:cs="楷体"/>
                <w:sz w:val="32"/>
                <w:szCs w:val="32"/>
                <w:lang w:val="en-US" w:eastAsia="zh-CN"/>
              </w:rPr>
            </w:pPr>
            <w:bookmarkStart w:id="10" w:name="_Toc9107"/>
            <w:r>
              <w:rPr>
                <w:rFonts w:hint="eastAsia" w:ascii="楷体" w:hAnsi="楷体" w:eastAsia="楷体" w:cs="楷体"/>
                <w:sz w:val="32"/>
                <w:szCs w:val="32"/>
                <w:lang w:val="en-US" w:eastAsia="zh-CN"/>
              </w:rPr>
              <w:t>2.部门决算收支情况</w:t>
            </w:r>
            <w:bookmarkEnd w:id="10"/>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2021年度决算收入合计16418.22万元，其中：一般公共预算财政拨款收入</w:t>
            </w:r>
            <w:r>
              <w:rPr>
                <w:rFonts w:hint="eastAsia" w:ascii="仿宋" w:hAnsi="仿宋" w:eastAsia="仿宋" w:cs="仿宋"/>
                <w:sz w:val="30"/>
                <w:szCs w:val="30"/>
                <w:lang w:val="en-US" w:eastAsia="zh-CN"/>
              </w:rPr>
              <w:t>15468.05</w:t>
            </w:r>
            <w:r>
              <w:rPr>
                <w:rFonts w:hint="eastAsia" w:ascii="仿宋" w:hAnsi="仿宋" w:eastAsia="仿宋" w:cs="仿宋"/>
                <w:color w:val="auto"/>
                <w:sz w:val="30"/>
                <w:szCs w:val="30"/>
                <w:highlight w:val="none"/>
                <w:lang w:val="en-US" w:eastAsia="zh-CN"/>
              </w:rPr>
              <w:t>万元，政府性基金预算财政拨款收入126.00万元，其他收入824.17，上年度结转和结余</w:t>
            </w:r>
            <w:r>
              <w:rPr>
                <w:rFonts w:hint="eastAsia" w:ascii="仿宋" w:hAnsi="仿宋" w:eastAsia="仿宋" w:cs="仿宋"/>
                <w:sz w:val="30"/>
                <w:szCs w:val="30"/>
                <w:lang w:val="en-US" w:eastAsia="zh-CN"/>
              </w:rPr>
              <w:t>0</w:t>
            </w:r>
            <w:r>
              <w:rPr>
                <w:rFonts w:hint="eastAsia" w:ascii="仿宋" w:hAnsi="仿宋" w:eastAsia="仿宋" w:cs="仿宋"/>
                <w:color w:val="auto"/>
                <w:sz w:val="30"/>
                <w:szCs w:val="30"/>
                <w:highlight w:val="none"/>
                <w:lang w:val="en-US" w:eastAsia="zh-CN"/>
              </w:rPr>
              <w:t>万元；</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2021年决算支出16418.22万元，其中：</w:t>
            </w:r>
          </w:p>
          <w:p>
            <w:pPr>
              <w:pStyle w:val="12"/>
              <w:keepNext w:val="0"/>
              <w:keepLines w:val="0"/>
              <w:pageBreakBefore w:val="0"/>
              <w:widowControl/>
              <w:suppressLineNumbers w:val="0"/>
              <w:kinsoku/>
              <w:wordWrap/>
              <w:overflowPunct/>
              <w:topLinePunct w:val="0"/>
              <w:autoSpaceDE/>
              <w:autoSpaceDN/>
              <w:bidi w:val="0"/>
              <w:adjustRightInd/>
              <w:snapToGrid/>
              <w:spacing w:line="360" w:lineRule="atLeast"/>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①按支出性质划分：基本支出4880.81万元，项目支出11537.41万元。</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②按支出功能科目划分：一般公共服务8.3万元，社会保障和就业支出652.46万元，科学技术支出163.15万元，节能环保支出6000万元、城乡社区支出126万元，农林水支出3万元，资源勘探工业信息等支出5万元，商业服务业等支出10万元，自然资源海洋气象等支出8633.78万元，住房保障支出166.93万元，灾害防治及应急管理支出649.60万元。</w:t>
            </w:r>
          </w:p>
          <w:p>
            <w:pPr>
              <w:keepNext w:val="0"/>
              <w:keepLines w:val="0"/>
              <w:pageBreakBefore w:val="0"/>
              <w:widowControl w:val="0"/>
              <w:kinsoku/>
              <w:wordWrap/>
              <w:overflowPunct/>
              <w:topLinePunct w:val="0"/>
              <w:autoSpaceDE/>
              <w:autoSpaceDN/>
              <w:bidi w:val="0"/>
              <w:adjustRightInd/>
              <w:snapToGrid/>
              <w:spacing w:after="313" w:afterLines="100"/>
              <w:ind w:firstLine="600" w:firstLineChars="2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③按经济分类划分：工资福利支出4063.70万元，商品和服务支出1496.29万元，对个人和家庭的补助266.07万元。资本性支出10592.16万元。资本性支出（基本建设）0万元。</w:t>
            </w:r>
          </w:p>
          <w:p>
            <w:pPr>
              <w:pStyle w:val="5"/>
              <w:jc w:val="center"/>
              <w:rPr>
                <w:rFonts w:hint="eastAsia"/>
                <w:sz w:val="22"/>
                <w:szCs w:val="32"/>
                <w:lang w:val="en-US" w:eastAsia="zh-CN"/>
              </w:rPr>
            </w:pPr>
            <w:r>
              <w:rPr>
                <w:sz w:val="22"/>
                <w:szCs w:val="32"/>
              </w:rPr>
              <w:t xml:space="preserve">表 </w:t>
            </w:r>
            <w:r>
              <w:rPr>
                <w:rFonts w:hint="eastAsia"/>
                <w:sz w:val="22"/>
                <w:szCs w:val="32"/>
                <w:lang w:val="en-US" w:eastAsia="zh-CN"/>
              </w:rPr>
              <w:t>2    2021年度宜春自然资源局部门决算收支情况表</w:t>
            </w:r>
          </w:p>
          <w:p>
            <w:pPr>
              <w:rPr>
                <w:rFonts w:hint="default"/>
                <w:lang w:val="en-US" w:eastAsia="zh-CN"/>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260"/>
              <w:gridCol w:w="1185"/>
              <w:gridCol w:w="351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849"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bookmarkStart w:id="11" w:name="_Toc559"/>
                  <w:r>
                    <w:rPr>
                      <w:rFonts w:hint="eastAsia" w:ascii="仿宋" w:hAnsi="仿宋" w:cs="仿宋"/>
                      <w:b/>
                      <w:bCs/>
                      <w:color w:val="auto"/>
                      <w:sz w:val="24"/>
                      <w:szCs w:val="21"/>
                      <w:highlight w:val="none"/>
                      <w:vertAlign w:val="baseline"/>
                      <w:lang w:val="en-US" w:eastAsia="zh-CN"/>
                    </w:rPr>
                    <w:t>资金情况类别</w:t>
                  </w:r>
                </w:p>
              </w:tc>
              <w:tc>
                <w:tcPr>
                  <w:tcW w:w="1673"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决算收入</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本年收入</w:t>
                  </w: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default" w:ascii="仿宋" w:hAnsi="仿宋" w:eastAsia="仿宋" w:cs="仿宋"/>
                      <w:b/>
                      <w:bCs/>
                      <w:color w:val="auto"/>
                      <w:sz w:val="24"/>
                      <w:szCs w:val="21"/>
                      <w:highlight w:val="none"/>
                      <w:vertAlign w:val="baseline"/>
                      <w:lang w:val="en-US" w:eastAsia="zh-CN"/>
                    </w:rPr>
                    <w:t>一般公共预算财政拨款收入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15468.05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r>
                    <w:rPr>
                      <w:rFonts w:hint="eastAsia" w:ascii="仿宋" w:hAnsi="仿宋" w:eastAsia="仿宋" w:cs="仿宋"/>
                      <w:b/>
                      <w:bCs/>
                      <w:color w:val="auto"/>
                      <w:sz w:val="24"/>
                      <w:szCs w:val="21"/>
                      <w:highlight w:val="none"/>
                      <w:vertAlign w:val="baseline"/>
                      <w:lang w:val="en-US" w:eastAsia="zh-CN"/>
                    </w:rPr>
                    <w:t>政府性基金预算收入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r>
                    <w:rPr>
                      <w:rFonts w:hint="eastAsia" w:ascii="仿宋" w:hAnsi="仿宋" w:eastAsia="仿宋" w:cs="仿宋"/>
                      <w:b/>
                      <w:bCs/>
                      <w:color w:val="auto"/>
                      <w:sz w:val="24"/>
                      <w:szCs w:val="21"/>
                      <w:highlight w:val="none"/>
                      <w:vertAlign w:val="baseline"/>
                      <w:lang w:val="en-US" w:eastAsia="zh-CN"/>
                    </w:rPr>
                    <w:t>经营收入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35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eastAsia="仿宋" w:cs="仿宋"/>
                      <w:b/>
                      <w:bCs/>
                      <w:color w:val="auto"/>
                      <w:sz w:val="24"/>
                      <w:szCs w:val="21"/>
                      <w:highlight w:val="none"/>
                      <w:vertAlign w:val="baseline"/>
                      <w:lang w:val="en-US" w:eastAsia="zh-CN"/>
                    </w:rPr>
                    <w:t>其他收入</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824.17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小计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16418.22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年初结转结余</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849" w:type="dxa"/>
                  <w:gridSpan w:val="4"/>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4234.53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9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决算支出</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按支出性质划分</w:t>
                  </w: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基本支出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4880.81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项目支出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11537.41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5955"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16418.22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按支出功能科目划分</w:t>
                  </w: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社会保障和就业支出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652.46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一般公共服务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科学技术支出</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节能环保支出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城乡社区支出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农林水支出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资源勘探工业信息等支出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商业服务业等支出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自然资源海洋气象等支出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8633.78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住房保障支出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p>
              </w:tc>
              <w:tc>
                <w:tcPr>
                  <w:tcW w:w="4695"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灾害防治及应急管理支出</w:t>
                  </w:r>
                </w:p>
              </w:tc>
              <w:tc>
                <w:tcPr>
                  <w:tcW w:w="1673"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649.60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b/>
                      <w:bCs/>
                      <w:color w:val="auto"/>
                      <w:sz w:val="24"/>
                      <w:szCs w:val="21"/>
                      <w:highlight w:val="none"/>
                      <w:vertAlign w:val="baseline"/>
                      <w:lang w:val="en-US" w:eastAsia="zh-CN"/>
                    </w:rPr>
                  </w:pPr>
                </w:p>
              </w:tc>
              <w:tc>
                <w:tcPr>
                  <w:tcW w:w="5955"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cs="仿宋"/>
                      <w:b/>
                      <w:bCs/>
                      <w:color w:val="auto"/>
                      <w:sz w:val="24"/>
                      <w:szCs w:val="21"/>
                      <w:highlight w:val="none"/>
                      <w:vertAlign w:val="baseline"/>
                      <w:lang w:val="en-US" w:eastAsia="zh-CN"/>
                    </w:rPr>
                  </w:pPr>
                  <w:r>
                    <w:rPr>
                      <w:rFonts w:hint="eastAsia" w:ascii="仿宋" w:hAnsi="仿宋" w:cs="仿宋"/>
                      <w:b/>
                      <w:bCs/>
                      <w:color w:val="auto"/>
                      <w:sz w:val="24"/>
                      <w:szCs w:val="21"/>
                      <w:highlight w:val="none"/>
                      <w:vertAlign w:val="baseline"/>
                      <w:lang w:val="en-US" w:eastAsia="zh-CN"/>
                    </w:rPr>
                    <w:t>总计</w:t>
                  </w:r>
                </w:p>
              </w:tc>
              <w:tc>
                <w:tcPr>
                  <w:tcW w:w="167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cs="仿宋"/>
                      <w:color w:val="auto"/>
                      <w:sz w:val="24"/>
                      <w:szCs w:val="21"/>
                      <w:highlight w:val="none"/>
                      <w:vertAlign w:val="baseline"/>
                      <w:lang w:val="en-US" w:eastAsia="zh-CN"/>
                    </w:rPr>
                  </w:pPr>
                  <w:r>
                    <w:rPr>
                      <w:rFonts w:hint="eastAsia" w:ascii="仿宋" w:hAnsi="仿宋" w:cs="仿宋"/>
                      <w:color w:val="auto"/>
                      <w:sz w:val="24"/>
                      <w:szCs w:val="21"/>
                      <w:highlight w:val="none"/>
                      <w:vertAlign w:val="baseline"/>
                      <w:lang w:val="en-US" w:eastAsia="zh-CN"/>
                    </w:rPr>
                    <w:t>16418.22</w:t>
                  </w:r>
                </w:p>
              </w:tc>
            </w:tr>
          </w:tbl>
          <w:p>
            <w:pPr>
              <w:pStyle w:val="4"/>
              <w:keepNext/>
              <w:keepLines/>
              <w:pageBreakBefore w:val="0"/>
              <w:widowControl w:val="0"/>
              <w:kinsoku/>
              <w:wordWrap/>
              <w:overflowPunct/>
              <w:topLinePunct w:val="0"/>
              <w:autoSpaceDE/>
              <w:autoSpaceDN/>
              <w:bidi w:val="0"/>
              <w:adjustRightInd/>
              <w:snapToGrid/>
              <w:spacing w:before="24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3、结转结余情况</w:t>
            </w:r>
            <w:bookmarkEnd w:id="11"/>
          </w:p>
          <w:p>
            <w:pPr>
              <w:ind w:firstLine="600" w:firstLineChars="200"/>
              <w:rPr>
                <w:rFonts w:hint="default"/>
              </w:rPr>
            </w:pPr>
            <w:r>
              <w:rPr>
                <w:rFonts w:hint="eastAsia" w:ascii="仿宋" w:hAnsi="仿宋" w:eastAsia="仿宋" w:cs="仿宋"/>
                <w:color w:val="auto"/>
                <w:sz w:val="30"/>
                <w:szCs w:val="30"/>
                <w:highlight w:val="none"/>
                <w:lang w:val="en-US" w:eastAsia="zh-CN"/>
              </w:rPr>
              <w:t>2021年末结转结余共计0万元，其中基本支出结转0万元。</w:t>
            </w:r>
          </w:p>
          <w:p>
            <w:pPr>
              <w:pStyle w:val="6"/>
              <w:widowControl w:val="0"/>
              <w:numPr>
                <w:ilvl w:val="0"/>
                <w:numId w:val="0"/>
              </w:numPr>
              <w:jc w:val="both"/>
              <w:rPr>
                <w:rFonts w:hint="default"/>
              </w:rPr>
            </w:pP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32"/>
                <w:szCs w:val="32"/>
                <w:u w:val="none"/>
              </w:rPr>
            </w:pPr>
            <w:r>
              <w:rPr>
                <w:rFonts w:hint="eastAsia" w:ascii="黑体" w:hAnsi="黑体" w:eastAsia="黑体" w:cs="黑体"/>
                <w:b/>
                <w:bCs/>
                <w:i w:val="0"/>
                <w:iCs w:val="0"/>
                <w:color w:val="000000"/>
                <w:kern w:val="0"/>
                <w:sz w:val="32"/>
                <w:szCs w:val="32"/>
                <w:u w:val="none"/>
                <w:lang w:val="en-US" w:eastAsia="zh-CN" w:bidi="ar"/>
              </w:rPr>
              <w:t>二、部门（单位）整体支出绩效实现情况</w:t>
            </w:r>
          </w:p>
        </w:tc>
      </w:tr>
      <w:tr>
        <w:tblPrEx>
          <w:shd w:val="clear" w:color="auto" w:fill="auto"/>
          <w:tblCellMar>
            <w:top w:w="0" w:type="dxa"/>
            <w:left w:w="108" w:type="dxa"/>
            <w:bottom w:w="0" w:type="dxa"/>
            <w:right w:w="108" w:type="dxa"/>
          </w:tblCellMar>
        </w:tblPrEx>
        <w:trPr>
          <w:trHeight w:val="1080" w:hRule="atLeast"/>
        </w:trPr>
        <w:tc>
          <w:tcPr>
            <w:tcW w:w="9546" w:type="dxa"/>
            <w:tcBorders>
              <w:top w:val="nil"/>
              <w:left w:val="nil"/>
              <w:bottom w:val="nil"/>
              <w:right w:val="nil"/>
            </w:tcBorders>
            <w:shd w:val="clear" w:color="auto" w:fill="auto"/>
            <w:vAlign w:val="center"/>
          </w:tcPr>
          <w:p>
            <w:pPr>
              <w:ind w:firstLine="567"/>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2021年，我单位积极履行，强化管理，较好地完成了年度工作目标。通过加强预算收支管理，不断建立健全内部管理制度，梳理内部管理流程，部门整体支出管理水平得到提升。根据部门整体支出绩效评价指标体系，我单位2021年度评价得分为</w:t>
            </w:r>
            <w:r>
              <w:rPr>
                <w:rFonts w:hint="eastAsia" w:ascii="仿宋" w:hAnsi="仿宋" w:eastAsia="仿宋" w:cs="仿宋"/>
                <w:b/>
                <w:bCs/>
                <w:color w:val="auto"/>
                <w:sz w:val="30"/>
                <w:szCs w:val="30"/>
                <w:highlight w:val="none"/>
                <w:lang w:val="en-US" w:eastAsia="zh-CN"/>
              </w:rPr>
              <w:t>97</w:t>
            </w:r>
            <w:r>
              <w:rPr>
                <w:rFonts w:hint="eastAsia" w:ascii="仿宋" w:hAnsi="仿宋" w:eastAsia="仿宋" w:cs="仿宋"/>
                <w:color w:val="auto"/>
                <w:sz w:val="30"/>
                <w:szCs w:val="30"/>
                <w:highlight w:val="none"/>
                <w:lang w:val="en-US" w:eastAsia="zh-CN"/>
              </w:rPr>
              <w:t>分。部门整体支出绩效目标情况如下：</w:t>
            </w:r>
            <w:bookmarkStart w:id="12" w:name="_Toc4300"/>
          </w:p>
          <w:p>
            <w:pPr>
              <w:ind w:firstLine="600"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（一）预算投入管理情况分析（30分）</w:t>
            </w:r>
            <w:bookmarkEnd w:id="12"/>
          </w:p>
          <w:p>
            <w:pPr>
              <w:pStyle w:val="4"/>
              <w:bidi w:val="0"/>
              <w:ind w:firstLine="600" w:firstLineChars="200"/>
              <w:rPr>
                <w:rFonts w:hint="eastAsia" w:ascii="仿宋" w:hAnsi="仿宋" w:eastAsia="仿宋" w:cs="仿宋"/>
                <w:color w:val="auto"/>
                <w:sz w:val="30"/>
                <w:szCs w:val="30"/>
                <w:lang w:val="en-US" w:eastAsia="zh-CN"/>
              </w:rPr>
            </w:pPr>
            <w:bookmarkStart w:id="13" w:name="_Toc17971"/>
            <w:r>
              <w:rPr>
                <w:rFonts w:hint="eastAsia" w:ascii="仿宋" w:hAnsi="仿宋" w:eastAsia="仿宋" w:cs="仿宋"/>
                <w:color w:val="auto"/>
                <w:sz w:val="30"/>
                <w:szCs w:val="30"/>
                <w:lang w:val="en-US" w:eastAsia="zh-CN"/>
              </w:rPr>
              <w:t>1、预算编审管理（4分）</w:t>
            </w:r>
            <w:bookmarkEnd w:id="13"/>
          </w:p>
          <w:p>
            <w:pPr>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①预算编制完整性（1分）</w:t>
            </w:r>
          </w:p>
          <w:p>
            <w:pPr>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部门整体支出绩效评价共性指标体系框架》文件及宜春市自然资源局部门职能设置此指标；通过2021年《收支预算总表》，宜春市自然资源局部门预算编制收入来源齐全、完整，依据评分标准，该指标得1分。</w:t>
            </w:r>
          </w:p>
          <w:p>
            <w:pPr>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②预算编制准确性（1分）</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lang w:val="en-US" w:eastAsia="zh-CN"/>
              </w:rPr>
              <w:t>依据《部门整体支出绩效评价共性指标体系框架》文件及行政这早批局部门职能设置此指标；通过2021年《收支预算总表》、宜春市自然资源局明细账获取数据，宜春市自然资源局部门预算编列按支出项目划分为基本支出和项目支出，按支出功能科目划分为</w:t>
            </w:r>
            <w:r>
              <w:rPr>
                <w:rFonts w:hint="eastAsia" w:ascii="仿宋" w:hAnsi="仿宋" w:eastAsia="仿宋" w:cs="仿宋"/>
                <w:color w:val="auto"/>
                <w:sz w:val="30"/>
                <w:szCs w:val="30"/>
                <w:highlight w:val="none"/>
                <w:lang w:val="en-US" w:eastAsia="zh-CN"/>
              </w:rPr>
              <w:t>社会保障和就业支出、住房保障支出、一般公共服务支出、自然资源海洋气象等支出、城乡社区支出。</w:t>
            </w:r>
            <w:r>
              <w:rPr>
                <w:rFonts w:hint="eastAsia" w:ascii="仿宋" w:hAnsi="仿宋" w:eastAsia="仿宋" w:cs="仿宋"/>
                <w:color w:val="auto"/>
                <w:sz w:val="30"/>
                <w:szCs w:val="30"/>
                <w:lang w:val="en-US" w:eastAsia="zh-CN"/>
              </w:rPr>
              <w:t>该指标得1分。</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③绩效目标管理（2分）</w:t>
            </w:r>
          </w:p>
          <w:p>
            <w:pPr>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宜春市</w:t>
            </w:r>
            <w:r>
              <w:rPr>
                <w:rFonts w:hint="eastAsia" w:ascii="仿宋" w:hAnsi="仿宋" w:eastAsia="仿宋" w:cs="仿宋"/>
                <w:color w:val="auto"/>
                <w:sz w:val="30"/>
                <w:szCs w:val="30"/>
                <w:lang w:val="en-US" w:eastAsia="zh-CN"/>
              </w:rPr>
              <w:t>自然资源局</w:t>
            </w:r>
            <w:r>
              <w:rPr>
                <w:rFonts w:hint="eastAsia" w:ascii="仿宋" w:hAnsi="仿宋" w:eastAsia="仿宋" w:cs="仿宋"/>
                <w:color w:val="auto"/>
                <w:sz w:val="30"/>
                <w:szCs w:val="30"/>
                <w:highlight w:val="none"/>
                <w:lang w:val="en-US" w:eastAsia="zh-CN"/>
              </w:rPr>
              <w:t>依据部门职能、当年工作计划编制2021年部门整体绩效目标，依据评分标准，该项得2分。</w:t>
            </w:r>
          </w:p>
          <w:p>
            <w:pPr>
              <w:pStyle w:val="4"/>
              <w:numPr>
                <w:ilvl w:val="0"/>
                <w:numId w:val="0"/>
              </w:numPr>
              <w:bidi w:val="0"/>
              <w:rPr>
                <w:rFonts w:hint="eastAsia" w:ascii="仿宋_GB2312" w:hAnsi="仿宋_GB2312" w:eastAsia="仿宋_GB2312" w:cs="仿宋_GB2312"/>
                <w:color w:val="auto"/>
                <w:sz w:val="30"/>
                <w:szCs w:val="30"/>
                <w:lang w:val="en-US" w:eastAsia="zh-CN"/>
              </w:rPr>
            </w:pPr>
            <w:bookmarkStart w:id="14" w:name="_Toc6920"/>
            <w:r>
              <w:rPr>
                <w:rFonts w:hint="eastAsia" w:ascii="仿宋_GB2312" w:hAnsi="仿宋_GB2312" w:eastAsia="仿宋_GB2312" w:cs="仿宋_GB2312"/>
                <w:color w:val="auto"/>
                <w:sz w:val="30"/>
                <w:szCs w:val="30"/>
                <w:lang w:val="en-US" w:eastAsia="zh-CN"/>
              </w:rPr>
              <w:t xml:space="preserve">    2、预算执行管理（6分）</w:t>
            </w:r>
            <w:bookmarkEnd w:id="14"/>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①预算完成率（2分）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依据《收入支出决算总表》，2021年宜春市自然资源局全年预算数为4234.53万元，全年实际支出16418.22万元，预算执行率为387.72%＞95%，依据评价标准，该项得2分。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②支付进度率（1分）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依据《收入支出决算总表》，2021年宜春自然资源局全年预算数为4234.53元，全年实际支出16418.22万元，支付进度率为387.72%＞95%，依据评价标准，该项得1分。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③公用经费控制率（1分）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依据《收入支出决算总表》，2021年行宜春市自然资源局日常公用经费预算为271.60万元，截止到2021年底实际支出公用经费551.04万元，公用经费执行率为202.87%，依据评价标准，该项得0分。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④“三公经费”控制率（2分）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依据《收入支出决算总表》以及现场账务核查，2021年度宜春市自然资源局编制“三公经费”预算131.00万元，当年实际发生支出为24.31万，“三公经费”控制率为18.55%，依据评分标准，该项得2分。</w:t>
            </w:r>
          </w:p>
          <w:p>
            <w:pPr>
              <w:pStyle w:val="4"/>
              <w:numPr>
                <w:ilvl w:val="0"/>
                <w:numId w:val="0"/>
              </w:numPr>
              <w:bidi w:val="0"/>
              <w:ind w:left="630" w:leftChars="0"/>
              <w:rPr>
                <w:rFonts w:hint="eastAsia" w:ascii="仿宋" w:hAnsi="仿宋" w:eastAsia="仿宋" w:cs="仿宋"/>
                <w:color w:val="auto"/>
                <w:sz w:val="30"/>
                <w:szCs w:val="30"/>
                <w:lang w:val="en-US" w:eastAsia="zh-CN"/>
              </w:rPr>
            </w:pPr>
            <w:bookmarkStart w:id="15" w:name="_Toc17945"/>
            <w:r>
              <w:rPr>
                <w:rFonts w:hint="eastAsia" w:ascii="仿宋" w:hAnsi="仿宋" w:eastAsia="仿宋" w:cs="仿宋"/>
                <w:color w:val="auto"/>
                <w:sz w:val="30"/>
                <w:szCs w:val="30"/>
                <w:lang w:val="en-US" w:eastAsia="zh-CN"/>
              </w:rPr>
              <w:t>3、部门结转结余资金管理（2分）</w:t>
            </w:r>
            <w:bookmarkEnd w:id="15"/>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①结转结余率（2分）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依据《收入支出决算总表》获取相关数据，2021年宜春市自然资源局部门收入总额16418.22万元，发生支出16418.22万元，年末结转结余0万元，结转结余率=0÷16418.22=0%</w:t>
            </w:r>
            <w:r>
              <w:rPr>
                <w:rFonts w:hint="eastAsia" w:ascii="宋体" w:hAnsi="宋体" w:eastAsia="宋体" w:cs="宋体"/>
                <w:color w:val="auto"/>
                <w:sz w:val="30"/>
                <w:szCs w:val="30"/>
                <w:lang w:val="en-US" w:eastAsia="zh-CN"/>
              </w:rPr>
              <w:t>≦</w:t>
            </w:r>
            <w:r>
              <w:rPr>
                <w:rFonts w:hint="eastAsia" w:ascii="仿宋" w:hAnsi="仿宋" w:eastAsia="仿宋" w:cs="仿宋"/>
                <w:color w:val="auto"/>
                <w:sz w:val="30"/>
                <w:szCs w:val="30"/>
                <w:lang w:val="en-US" w:eastAsia="zh-CN"/>
              </w:rPr>
              <w:t>5%，依据评分标准，该项得2分。</w:t>
            </w:r>
          </w:p>
          <w:p>
            <w:pPr>
              <w:pStyle w:val="4"/>
              <w:numPr>
                <w:ilvl w:val="0"/>
                <w:numId w:val="0"/>
              </w:numPr>
              <w:bidi w:val="0"/>
              <w:ind w:left="630" w:leftChars="0"/>
              <w:rPr>
                <w:rFonts w:hint="eastAsia" w:ascii="仿宋" w:hAnsi="仿宋" w:eastAsia="仿宋" w:cs="仿宋"/>
                <w:color w:val="auto"/>
                <w:sz w:val="30"/>
                <w:szCs w:val="30"/>
                <w:lang w:val="en-US" w:eastAsia="zh-CN"/>
              </w:rPr>
            </w:pPr>
            <w:bookmarkStart w:id="16" w:name="_Toc28197"/>
            <w:r>
              <w:rPr>
                <w:rFonts w:hint="eastAsia" w:ascii="仿宋" w:hAnsi="仿宋" w:eastAsia="仿宋" w:cs="仿宋"/>
                <w:color w:val="auto"/>
                <w:sz w:val="30"/>
                <w:szCs w:val="30"/>
                <w:lang w:val="en-US" w:eastAsia="zh-CN"/>
              </w:rPr>
              <w:t>4、预决算信息公开管理（4分）</w:t>
            </w:r>
            <w:bookmarkEnd w:id="16"/>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①预决算信息公开性（2分）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8" w:lineRule="atLeast"/>
              <w:ind w:left="0" w:right="0" w:firstLine="600" w:firstLineChars="200"/>
              <w:jc w:val="left"/>
              <w:rPr>
                <w:rFonts w:hint="eastAsia" w:ascii="仿宋" w:hAnsi="仿宋" w:eastAsia="仿宋" w:cs="仿宋"/>
                <w:color w:val="auto"/>
                <w:sz w:val="30"/>
                <w:szCs w:val="30"/>
                <w:highlight w:val="none"/>
                <w:lang w:val="en-US" w:eastAsia="zh-CN"/>
              </w:rPr>
            </w:pPr>
            <w:r>
              <w:rPr>
                <w:rFonts w:hint="eastAsia" w:ascii="仿宋" w:hAnsi="仿宋" w:eastAsia="仿宋" w:cs="仿宋"/>
                <w:b w:val="0"/>
                <w:bCs w:val="0"/>
                <w:color w:val="auto"/>
                <w:kern w:val="2"/>
                <w:sz w:val="30"/>
                <w:szCs w:val="30"/>
                <w:lang w:val="en-US" w:eastAsia="zh-CN"/>
              </w:rPr>
              <w:t>通过业务资料核查与宜春市人自然资源局·信息公开网站搜索获取数据，2021年3月29日发布《宜春市自然资源局2021年部门预算》，采取随机抽样原则，抽取部门数据与部分财务资料核查，公开预算数与部门预算决算表一致。</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②基础信息完善性（2分）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依据宜春市自然资源局</w:t>
            </w:r>
            <w:r>
              <w:rPr>
                <w:rFonts w:hint="eastAsia" w:ascii="仿宋" w:hAnsi="仿宋" w:eastAsia="仿宋" w:cs="仿宋"/>
                <w:color w:val="auto"/>
                <w:sz w:val="30"/>
                <w:szCs w:val="30"/>
              </w:rPr>
              <w:t>基础数据信息和会计信息资料真实</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完整。</w:t>
            </w:r>
          </w:p>
          <w:p>
            <w:pPr>
              <w:pStyle w:val="4"/>
              <w:numPr>
                <w:ilvl w:val="0"/>
                <w:numId w:val="0"/>
              </w:numPr>
              <w:bidi w:val="0"/>
              <w:ind w:left="-13" w:leftChars="0" w:firstLine="600" w:firstLineChars="200"/>
              <w:rPr>
                <w:rFonts w:hint="eastAsia" w:ascii="仿宋" w:hAnsi="仿宋" w:eastAsia="仿宋" w:cs="仿宋"/>
                <w:color w:val="auto"/>
                <w:sz w:val="30"/>
                <w:szCs w:val="30"/>
                <w:lang w:val="en-US" w:eastAsia="zh-CN"/>
              </w:rPr>
            </w:pPr>
            <w:bookmarkStart w:id="17" w:name="_Toc18553"/>
            <w:r>
              <w:rPr>
                <w:rFonts w:hint="eastAsia" w:ascii="仿宋" w:hAnsi="仿宋" w:eastAsia="仿宋" w:cs="仿宋"/>
                <w:color w:val="auto"/>
                <w:sz w:val="30"/>
                <w:szCs w:val="30"/>
                <w:lang w:val="en-US" w:eastAsia="zh-CN"/>
              </w:rPr>
              <w:t>5、部门预算管理</w:t>
            </w:r>
            <w:r>
              <w:rPr>
                <w:rStyle w:val="19"/>
                <w:rFonts w:hint="eastAsia" w:ascii="仿宋" w:hAnsi="仿宋" w:eastAsia="仿宋" w:cs="仿宋"/>
                <w:b/>
                <w:bCs/>
                <w:color w:val="auto"/>
                <w:sz w:val="30"/>
                <w:szCs w:val="30"/>
                <w:lang w:val="en-US" w:eastAsia="zh-CN"/>
              </w:rPr>
              <w:t>（</w:t>
            </w:r>
            <w:r>
              <w:rPr>
                <w:rFonts w:hint="eastAsia" w:ascii="仿宋" w:hAnsi="仿宋" w:eastAsia="仿宋" w:cs="仿宋"/>
                <w:color w:val="auto"/>
                <w:sz w:val="30"/>
                <w:szCs w:val="30"/>
                <w:lang w:val="en-US" w:eastAsia="zh-CN"/>
              </w:rPr>
              <w:t>6分）</w:t>
            </w:r>
            <w:bookmarkEnd w:id="17"/>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①在职人员控制率（2分）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宜春市人自然资源局机编制数218名，依据《宜春市机构编制管理》，宜春市人自然资源局2021年实有人数199人，在职人员控制率100%，未出现超编现象；依据评分标准，该指标得2分。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②管理制度健全性（2分）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现场核查宜春市人自然资源局提供的各项管理制度，针对部门预算管理，宜春市人自然资源局为规范财务行为，加强经费管理，依据国家、省、市有关部门的财经法规制度的规定，结合行政审批局实际情况制定了《财务审计制度》、《财产管理制度》等，制度执行有效，依据评分标准，该指标得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③资金使用合规性（2分）</w:t>
            </w:r>
          </w:p>
          <w:p>
            <w:pPr>
              <w:pStyle w:val="4"/>
              <w:numPr>
                <w:ilvl w:val="0"/>
                <w:numId w:val="0"/>
              </w:numPr>
              <w:bidi w:val="0"/>
              <w:ind w:left="630" w:leftChars="0"/>
              <w:rPr>
                <w:rFonts w:hint="eastAsia" w:ascii="仿宋" w:hAnsi="仿宋" w:eastAsia="仿宋" w:cs="仿宋"/>
                <w:b w:val="0"/>
                <w:bCs w:val="0"/>
                <w:color w:val="auto"/>
                <w:kern w:val="2"/>
                <w:sz w:val="30"/>
                <w:szCs w:val="30"/>
                <w:lang w:val="en-US" w:eastAsia="zh-CN" w:bidi="ar-SA"/>
              </w:rPr>
            </w:pPr>
            <w:bookmarkStart w:id="18" w:name="_Toc6025"/>
            <w:r>
              <w:rPr>
                <w:rFonts w:hint="eastAsia" w:ascii="仿宋" w:hAnsi="仿宋" w:eastAsia="仿宋" w:cs="仿宋"/>
                <w:b w:val="0"/>
                <w:bCs w:val="0"/>
                <w:color w:val="auto"/>
                <w:kern w:val="2"/>
                <w:sz w:val="30"/>
                <w:szCs w:val="30"/>
                <w:lang w:val="en-US" w:eastAsia="zh-CN" w:bidi="ar-SA"/>
              </w:rPr>
              <w:t>1</w:t>
            </w:r>
            <w:r>
              <w:rPr>
                <w:rFonts w:hint="eastAsia" w:ascii="仿宋" w:hAnsi="仿宋" w:cs="仿宋"/>
                <w:b w:val="0"/>
                <w:bCs w:val="0"/>
                <w:color w:val="auto"/>
                <w:kern w:val="2"/>
                <w:sz w:val="30"/>
                <w:szCs w:val="30"/>
                <w:lang w:val="en-US" w:eastAsia="zh-CN" w:bidi="ar-SA"/>
              </w:rPr>
              <w:t>.</w:t>
            </w:r>
            <w:r>
              <w:rPr>
                <w:rFonts w:hint="eastAsia" w:ascii="仿宋" w:hAnsi="仿宋" w:eastAsia="仿宋" w:cs="仿宋"/>
                <w:b w:val="0"/>
                <w:bCs w:val="0"/>
                <w:color w:val="auto"/>
                <w:kern w:val="2"/>
                <w:sz w:val="30"/>
                <w:szCs w:val="30"/>
                <w:lang w:val="en-US" w:eastAsia="zh-CN" w:bidi="ar-SA"/>
              </w:rPr>
              <w:t>资产保存完整；</w:t>
            </w:r>
            <w:r>
              <w:rPr>
                <w:rFonts w:hint="eastAsia" w:ascii="仿宋" w:hAnsi="仿宋" w:eastAsia="仿宋" w:cs="仿宋"/>
                <w:b w:val="0"/>
                <w:bCs w:val="0"/>
                <w:color w:val="auto"/>
                <w:kern w:val="2"/>
                <w:sz w:val="30"/>
                <w:szCs w:val="30"/>
                <w:lang w:val="en-US" w:eastAsia="zh-CN" w:bidi="ar-SA"/>
              </w:rPr>
              <w:br w:type="textWrapping"/>
            </w:r>
            <w:r>
              <w:rPr>
                <w:rFonts w:hint="eastAsia" w:ascii="仿宋" w:hAnsi="仿宋" w:eastAsia="仿宋" w:cs="仿宋"/>
                <w:b w:val="0"/>
                <w:bCs w:val="0"/>
                <w:color w:val="auto"/>
                <w:kern w:val="2"/>
                <w:sz w:val="30"/>
                <w:szCs w:val="30"/>
                <w:lang w:val="en-US" w:eastAsia="zh-CN" w:bidi="ar-SA"/>
              </w:rPr>
              <w:t>2</w:t>
            </w:r>
            <w:r>
              <w:rPr>
                <w:rFonts w:hint="eastAsia" w:ascii="仿宋" w:hAnsi="仿宋" w:cs="仿宋"/>
                <w:b w:val="0"/>
                <w:bCs w:val="0"/>
                <w:color w:val="auto"/>
                <w:kern w:val="2"/>
                <w:sz w:val="30"/>
                <w:szCs w:val="30"/>
                <w:lang w:val="en-US" w:eastAsia="zh-CN" w:bidi="ar-SA"/>
              </w:rPr>
              <w:t>.</w:t>
            </w:r>
            <w:r>
              <w:rPr>
                <w:rFonts w:hint="eastAsia" w:ascii="仿宋" w:hAnsi="仿宋" w:eastAsia="仿宋" w:cs="仿宋"/>
                <w:b w:val="0"/>
                <w:bCs w:val="0"/>
                <w:color w:val="auto"/>
                <w:kern w:val="2"/>
                <w:sz w:val="30"/>
                <w:szCs w:val="30"/>
                <w:lang w:val="en-US" w:eastAsia="zh-CN" w:bidi="ar-SA"/>
              </w:rPr>
              <w:t>资产配置合理；</w:t>
            </w:r>
            <w:r>
              <w:rPr>
                <w:rFonts w:hint="eastAsia" w:ascii="仿宋" w:hAnsi="仿宋" w:eastAsia="仿宋" w:cs="仿宋"/>
                <w:b w:val="0"/>
                <w:bCs w:val="0"/>
                <w:color w:val="auto"/>
                <w:kern w:val="2"/>
                <w:sz w:val="30"/>
                <w:szCs w:val="30"/>
                <w:lang w:val="en-US" w:eastAsia="zh-CN" w:bidi="ar-SA"/>
              </w:rPr>
              <w:br w:type="textWrapping"/>
            </w:r>
            <w:r>
              <w:rPr>
                <w:rFonts w:hint="eastAsia" w:ascii="仿宋" w:hAnsi="仿宋" w:eastAsia="仿宋" w:cs="仿宋"/>
                <w:b w:val="0"/>
                <w:bCs w:val="0"/>
                <w:color w:val="auto"/>
                <w:kern w:val="2"/>
                <w:sz w:val="30"/>
                <w:szCs w:val="30"/>
                <w:lang w:val="en-US" w:eastAsia="zh-CN" w:bidi="ar-SA"/>
              </w:rPr>
              <w:t>3</w:t>
            </w:r>
            <w:r>
              <w:rPr>
                <w:rFonts w:hint="eastAsia" w:ascii="仿宋" w:hAnsi="仿宋" w:cs="仿宋"/>
                <w:b w:val="0"/>
                <w:bCs w:val="0"/>
                <w:color w:val="auto"/>
                <w:kern w:val="2"/>
                <w:sz w:val="30"/>
                <w:szCs w:val="30"/>
                <w:lang w:val="en-US" w:eastAsia="zh-CN" w:bidi="ar-SA"/>
              </w:rPr>
              <w:t>.</w:t>
            </w:r>
            <w:r>
              <w:rPr>
                <w:rFonts w:hint="eastAsia" w:ascii="仿宋" w:hAnsi="仿宋" w:eastAsia="仿宋" w:cs="仿宋"/>
                <w:b w:val="0"/>
                <w:bCs w:val="0"/>
                <w:color w:val="auto"/>
                <w:kern w:val="2"/>
                <w:sz w:val="30"/>
                <w:szCs w:val="30"/>
                <w:lang w:val="en-US" w:eastAsia="zh-CN" w:bidi="ar-SA"/>
              </w:rPr>
              <w:t>资产账务管理帐实相符；</w:t>
            </w:r>
          </w:p>
          <w:p>
            <w:pPr>
              <w:pStyle w:val="4"/>
              <w:numPr>
                <w:ilvl w:val="0"/>
                <w:numId w:val="0"/>
              </w:numPr>
              <w:bidi w:val="0"/>
              <w:ind w:left="630" w:leftChars="0"/>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color w:val="auto"/>
                <w:sz w:val="30"/>
                <w:szCs w:val="30"/>
                <w:lang w:val="en-US" w:eastAsia="zh-CN"/>
              </w:rPr>
              <w:t>6、政府采购执行率（2分）</w:t>
            </w:r>
            <w:bookmarkEnd w:id="18"/>
          </w:p>
          <w:p>
            <w:pPr>
              <w:ind w:firstLine="567"/>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依据评价小组对宜春市自然资源局的财务资料、明细账以及记账凭证核查，获取2021年度物品采购信息，2021年度宜春市自然资源局申请政府采购，</w:t>
            </w:r>
            <w:r>
              <w:rPr>
                <w:rFonts w:hint="eastAsia" w:ascii="仿宋" w:hAnsi="仿宋" w:eastAsia="仿宋" w:cs="仿宋"/>
                <w:color w:val="auto"/>
                <w:sz w:val="30"/>
                <w:szCs w:val="30"/>
                <w:highlight w:val="none"/>
                <w:lang w:val="en-US" w:eastAsia="zh-CN"/>
              </w:rPr>
              <w:t>政府采购执行</w:t>
            </w:r>
            <w:r>
              <w:rPr>
                <w:rFonts w:hint="eastAsia" w:ascii="仿宋" w:hAnsi="仿宋" w:eastAsia="仿宋" w:cs="仿宋"/>
                <w:color w:val="auto"/>
                <w:sz w:val="30"/>
                <w:szCs w:val="30"/>
                <w:lang w:val="en-US" w:eastAsia="zh-CN"/>
              </w:rPr>
              <w:t>率=（实际政府采购金额42.31万元/政府采购预算数70万元）×100%=60.44%，得0分。</w:t>
            </w:r>
          </w:p>
          <w:p>
            <w:pPr>
              <w:pStyle w:val="4"/>
              <w:numPr>
                <w:ilvl w:val="0"/>
                <w:numId w:val="0"/>
              </w:numPr>
              <w:bidi w:val="0"/>
              <w:ind w:left="630" w:leftChars="0"/>
              <w:rPr>
                <w:rFonts w:hint="eastAsia" w:ascii="仿宋" w:hAnsi="仿宋" w:eastAsia="仿宋" w:cs="仿宋"/>
                <w:color w:val="auto"/>
                <w:sz w:val="30"/>
                <w:szCs w:val="30"/>
                <w:lang w:val="en-US" w:eastAsia="zh-CN"/>
              </w:rPr>
            </w:pPr>
            <w:bookmarkStart w:id="19" w:name="_Toc20451"/>
            <w:r>
              <w:rPr>
                <w:rFonts w:hint="eastAsia" w:ascii="仿宋" w:hAnsi="仿宋" w:eastAsia="仿宋" w:cs="仿宋"/>
                <w:color w:val="auto"/>
                <w:sz w:val="30"/>
                <w:szCs w:val="30"/>
                <w:lang w:val="en-US" w:eastAsia="zh-CN"/>
              </w:rPr>
              <w:t>7、资产管理（</w:t>
            </w:r>
            <w:r>
              <w:rPr>
                <w:rFonts w:hint="eastAsia" w:ascii="仿宋" w:hAnsi="仿宋" w:cs="仿宋"/>
                <w:color w:val="auto"/>
                <w:sz w:val="30"/>
                <w:szCs w:val="30"/>
                <w:lang w:val="en-US" w:eastAsia="zh-CN"/>
              </w:rPr>
              <w:t>6</w:t>
            </w:r>
            <w:r>
              <w:rPr>
                <w:rFonts w:hint="eastAsia" w:ascii="仿宋" w:hAnsi="仿宋" w:eastAsia="仿宋" w:cs="仿宋"/>
                <w:color w:val="auto"/>
                <w:sz w:val="30"/>
                <w:szCs w:val="30"/>
                <w:lang w:val="en-US" w:eastAsia="zh-CN"/>
              </w:rPr>
              <w:t>分）</w:t>
            </w:r>
            <w:bookmarkEnd w:id="19"/>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①管理制度健全性（2分）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评价组现场核对宜春市自然资源局提供的资产管理制度，行政审批局结合国家、省、市有关部门制定的规章制度，结合宜春市自然资源局实际情况，特制定了《办公用品管理制度》、《财产管理制度》、《固定资产管理制度》等文件，依据评分标准，该指标得2分。</w:t>
            </w:r>
          </w:p>
          <w:p>
            <w:pPr>
              <w:bidi w:val="0"/>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②资金管理安全性（2分）</w:t>
            </w:r>
          </w:p>
          <w:p>
            <w:pPr>
              <w:bidi w:val="0"/>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lang w:val="en-US" w:eastAsia="zh-CN"/>
              </w:rPr>
              <w:t>宜春市自然资源局</w:t>
            </w:r>
            <w:r>
              <w:rPr>
                <w:rFonts w:hint="eastAsia" w:ascii="仿宋" w:hAnsi="仿宋" w:eastAsia="仿宋" w:cs="仿宋"/>
                <w:color w:val="auto"/>
                <w:sz w:val="30"/>
                <w:szCs w:val="30"/>
                <w:highlight w:val="none"/>
                <w:lang w:val="en-US" w:eastAsia="zh-CN"/>
              </w:rPr>
              <w:t>建立明细账，对部门资金支出及使用严格按照相关制度进行管理，保障部门资金的安全性，依据评分标准，该指标得2分。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③固定资产利用率（2分）</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宜春市自然资源局严格按照部门固定资产管理制度对部门固定资产进行管理，按照累计折旧法等方式进行折旧处理，固定资产利用率为100%。依据评分标准，该项得2分。</w:t>
            </w:r>
          </w:p>
          <w:p>
            <w:pPr>
              <w:pStyle w:val="6"/>
              <w:widowControl w:val="0"/>
              <w:numPr>
                <w:ilvl w:val="0"/>
                <w:numId w:val="0"/>
              </w:numPr>
              <w:jc w:val="both"/>
              <w:rPr>
                <w:rFonts w:hint="default"/>
                <w:color w:val="auto"/>
              </w:rPr>
            </w:pPr>
          </w:p>
        </w:tc>
      </w:tr>
      <w:tr>
        <w:tblPrEx>
          <w:tblCellMar>
            <w:top w:w="0" w:type="dxa"/>
            <w:left w:w="108" w:type="dxa"/>
            <w:bottom w:w="0" w:type="dxa"/>
            <w:right w:w="108" w:type="dxa"/>
          </w:tblCellMar>
        </w:tblPrEx>
        <w:trPr>
          <w:trHeight w:val="7155"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0" w:firstLine="602" w:firstLineChars="200"/>
              <w:jc w:val="left"/>
              <w:textAlignment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（二）履职完成情况（25分）</w:t>
            </w:r>
          </w:p>
          <w:p>
            <w:pPr>
              <w:pageBreakBefore w:val="0"/>
              <w:kinsoku/>
              <w:wordWrap/>
              <w:overflowPunct/>
              <w:topLinePunct w:val="0"/>
              <w:autoSpaceDE/>
              <w:autoSpaceDN/>
              <w:bidi w:val="0"/>
              <w:adjustRightInd/>
              <w:snapToGrid/>
              <w:spacing w:line="360" w:lineRule="auto"/>
              <w:ind w:firstLine="642"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数量指标完成较好得</w:t>
            </w:r>
            <w:r>
              <w:rPr>
                <w:rFonts w:hint="eastAsia" w:ascii="楷体" w:hAnsi="楷体" w:eastAsia="楷体" w:cs="楷体"/>
                <w:b/>
                <w:bCs/>
                <w:sz w:val="32"/>
                <w:szCs w:val="32"/>
                <w:lang w:val="en-US" w:eastAsia="zh-CN"/>
              </w:rPr>
              <w:t>10分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rPr>
              <w:t>①</w:t>
            </w:r>
            <w:r>
              <w:rPr>
                <w:rFonts w:hint="eastAsia" w:ascii="仿宋" w:hAnsi="仿宋" w:eastAsia="仿宋" w:cs="仿宋"/>
                <w:b/>
                <w:bCs/>
                <w:kern w:val="0"/>
                <w:sz w:val="30"/>
                <w:szCs w:val="30"/>
              </w:rPr>
              <w:t>全市试划生态保护红线面积为510.79万亩；中心城区城镇开发边界试划面积248.89平方公里,初步满足国土空间规划报批要求</w:t>
            </w:r>
            <w:r>
              <w:rPr>
                <w:rFonts w:hint="eastAsia" w:ascii="仿宋" w:hAnsi="仿宋" w:eastAsia="仿宋" w:cs="仿宋"/>
                <w:b/>
                <w:bCs/>
                <w:kern w:val="0"/>
                <w:sz w:val="30"/>
                <w:szCs w:val="30"/>
                <w:lang w:eastAsia="zh-CN"/>
              </w:rPr>
              <w:t>，</w:t>
            </w:r>
            <w:r>
              <w:rPr>
                <w:rFonts w:hint="eastAsia" w:ascii="仿宋" w:hAnsi="仿宋" w:eastAsia="仿宋" w:cs="仿宋"/>
                <w:b/>
                <w:bCs/>
                <w:i w:val="0"/>
                <w:iCs w:val="0"/>
                <w:caps w:val="0"/>
                <w:color w:val="010000"/>
                <w:spacing w:val="0"/>
                <w:sz w:val="30"/>
                <w:szCs w:val="30"/>
                <w:u w:val="none"/>
                <w:shd w:val="clear" w:color="auto" w:fill="FFFFFF"/>
                <w:lang w:val="en-US" w:eastAsia="zh-CN"/>
              </w:rPr>
              <w:t>得2分 。</w:t>
            </w:r>
          </w:p>
          <w:p>
            <w:pPr>
              <w:keepNext w:val="0"/>
              <w:keepLines w:val="0"/>
              <w:pageBreakBefore w:val="0"/>
              <w:kinsoku/>
              <w:wordWrap/>
              <w:overflowPunct/>
              <w:topLinePunct w:val="0"/>
              <w:autoSpaceDE/>
              <w:autoSpaceDN/>
              <w:bidi w:val="0"/>
              <w:adjustRightInd/>
              <w:snapToGrid/>
              <w:spacing w:line="57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rPr>
              <w:t>科学试划“三区三线”。完成2轮“三区三线”试划成果并上报省厅，完成省厅第二轮试划下达我市的耕地保有量、永久基本农田、永久基本农田储备区保护任务与新增城乡建设用地指标分解。全市试划生态保护红线面积为510.79万亩；中心城区城镇开发边界试划面积248.89平方公里,初步满足国土空间规划报批要求。</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2</w:t>
            </w:r>
            <w:r>
              <w:rPr>
                <w:rFonts w:hint="eastAsia" w:ascii="仿宋" w:hAnsi="仿宋" w:eastAsia="仿宋" w:cs="仿宋"/>
                <w:sz w:val="30"/>
                <w:szCs w:val="30"/>
              </w:rPr>
              <w:t>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②</w:t>
            </w:r>
            <w:r>
              <w:rPr>
                <w:rFonts w:hint="eastAsia" w:ascii="仿宋" w:hAnsi="仿宋" w:eastAsia="仿宋" w:cs="仿宋"/>
                <w:b/>
                <w:bCs/>
                <w:sz w:val="30"/>
                <w:szCs w:val="30"/>
                <w:highlight w:val="none"/>
              </w:rPr>
              <w:t>2021年，全市共出让土地609宗，面积2.42万亩，出让收益233.91亿元</w:t>
            </w:r>
            <w:r>
              <w:rPr>
                <w:rFonts w:hint="eastAsia" w:ascii="仿宋" w:hAnsi="仿宋" w:eastAsia="仿宋" w:cs="仿宋"/>
                <w:b/>
                <w:bCs/>
                <w:sz w:val="30"/>
                <w:szCs w:val="30"/>
                <w:highlight w:val="none"/>
                <w:lang w:eastAsia="zh-CN"/>
              </w:rPr>
              <w:t>，</w:t>
            </w:r>
            <w:r>
              <w:rPr>
                <w:rFonts w:hint="eastAsia" w:ascii="仿宋" w:hAnsi="仿宋" w:eastAsia="仿宋" w:cs="仿宋"/>
                <w:b/>
                <w:bCs/>
                <w:i w:val="0"/>
                <w:iCs w:val="0"/>
                <w:caps w:val="0"/>
                <w:color w:val="010000"/>
                <w:spacing w:val="0"/>
                <w:sz w:val="30"/>
                <w:szCs w:val="30"/>
                <w:u w:val="none"/>
                <w:shd w:val="clear" w:color="auto" w:fill="FFFFFF"/>
                <w:lang w:val="en-US" w:eastAsia="zh-CN"/>
              </w:rPr>
              <w:t>得2分。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_GB2312" w:hAnsi="黑体" w:eastAsia="仿宋_GB2312"/>
                <w:sz w:val="30"/>
                <w:szCs w:val="30"/>
              </w:rPr>
            </w:pPr>
            <w:r>
              <w:rPr>
                <w:rFonts w:hint="eastAsia" w:ascii="仿宋_GB2312" w:hAnsi="黑体" w:eastAsia="仿宋_GB2312"/>
                <w:sz w:val="30"/>
                <w:szCs w:val="30"/>
                <w:highlight w:val="none"/>
              </w:rPr>
              <w:t>保持土地市场稳定向好。市本级和9个县（市、区）（铜鼓县除外）完成土地征收成片开发方案编制，其中市本级和7个县（市、区）已获省政府批复。2021年，全市共出让土地609宗，面积2.42万亩，出让收益233.91亿元。其中市本级共出让土地43宗，面积4900.7亩，出让收益48.58亿元。全市成交采矿权1宗，面积0.205平方公里，成交价1500万元。</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2</w:t>
            </w:r>
            <w:r>
              <w:rPr>
                <w:rFonts w:hint="eastAsia" w:ascii="仿宋" w:hAnsi="仿宋" w:eastAsia="仿宋" w:cs="仿宋"/>
                <w:sz w:val="30"/>
                <w:szCs w:val="30"/>
              </w:rPr>
              <w:t>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rPr>
              <w:t>③</w:t>
            </w:r>
            <w:r>
              <w:rPr>
                <w:rFonts w:hint="eastAsia" w:ascii="仿宋" w:hAnsi="仿宋" w:eastAsia="仿宋" w:cs="仿宋"/>
                <w:b/>
                <w:bCs/>
                <w:sz w:val="30"/>
                <w:szCs w:val="30"/>
                <w:highlight w:val="none"/>
              </w:rPr>
              <w:t>全年新增废弃矿山修复治理面积270.3公顷</w:t>
            </w:r>
            <w:r>
              <w:rPr>
                <w:rFonts w:hint="eastAsia" w:ascii="仿宋" w:hAnsi="仿宋" w:eastAsia="仿宋" w:cs="仿宋"/>
                <w:b/>
                <w:bCs/>
                <w:sz w:val="30"/>
                <w:szCs w:val="30"/>
                <w:highlight w:val="none"/>
                <w:lang w:eastAsia="zh-CN"/>
              </w:rPr>
              <w:t>，</w:t>
            </w:r>
            <w:r>
              <w:rPr>
                <w:rFonts w:hint="eastAsia" w:ascii="仿宋" w:hAnsi="仿宋" w:eastAsia="仿宋" w:cs="仿宋"/>
                <w:b/>
                <w:bCs/>
                <w:kern w:val="0"/>
                <w:sz w:val="30"/>
                <w:szCs w:val="30"/>
                <w:lang w:val="en-US" w:eastAsia="zh-CN"/>
              </w:rPr>
              <w:t>得2分。</w:t>
            </w:r>
          </w:p>
          <w:p>
            <w:pPr>
              <w:keepNext w:val="0"/>
              <w:keepLines w:val="0"/>
              <w:pageBreakBefore w:val="0"/>
              <w:kinsoku/>
              <w:wordWrap/>
              <w:overflowPunct/>
              <w:topLinePunct w:val="0"/>
              <w:autoSpaceDE/>
              <w:autoSpaceDN/>
              <w:bidi w:val="0"/>
              <w:adjustRightInd/>
              <w:snapToGrid/>
              <w:spacing w:line="57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sz w:val="30"/>
                <w:szCs w:val="30"/>
                <w:highlight w:val="none"/>
              </w:rPr>
              <w:t>大力推进绿色矿山建设，已编制绿色矿山建设方案的矿山77个，已在按方案要求开展建设74个。着力解决废弃矿山生态环境遗留问题，全年新增废弃矿山修复治理面积270.3公顷。</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2</w:t>
            </w:r>
            <w:r>
              <w:rPr>
                <w:rFonts w:hint="eastAsia" w:ascii="仿宋" w:hAnsi="仿宋" w:eastAsia="仿宋" w:cs="仿宋"/>
                <w:sz w:val="30"/>
                <w:szCs w:val="30"/>
              </w:rPr>
              <w:t>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④</w:t>
            </w:r>
            <w:r>
              <w:rPr>
                <w:rFonts w:hint="eastAsia" w:ascii="仿宋" w:hAnsi="仿宋" w:eastAsia="仿宋" w:cs="仿宋"/>
                <w:b/>
                <w:bCs/>
                <w:kern w:val="0"/>
                <w:sz w:val="30"/>
                <w:szCs w:val="30"/>
                <w:highlight w:val="none"/>
                <w:lang w:val="zh-CN"/>
              </w:rPr>
              <w:t>全市农村房地一体确权登记工作有序推进，应发证总数125.53万本，已登记发证数111.38万本，发证比例达到88.8%</w:t>
            </w:r>
            <w:r>
              <w:rPr>
                <w:rFonts w:hint="eastAsia" w:ascii="仿宋" w:hAnsi="仿宋" w:eastAsia="仿宋" w:cs="仿宋"/>
                <w:b/>
                <w:bCs/>
                <w:i w:val="0"/>
                <w:iCs w:val="0"/>
                <w:caps w:val="0"/>
                <w:color w:val="010000"/>
                <w:spacing w:val="0"/>
                <w:sz w:val="30"/>
                <w:szCs w:val="30"/>
                <w:highlight w:val="none"/>
                <w:u w:val="none"/>
                <w:shd w:val="clear" w:color="auto" w:fill="FFFFFF"/>
                <w:lang w:eastAsia="zh-CN"/>
              </w:rPr>
              <w:t>，</w:t>
            </w:r>
            <w:r>
              <w:rPr>
                <w:rFonts w:hint="eastAsia" w:ascii="仿宋" w:hAnsi="仿宋" w:eastAsia="仿宋" w:cs="仿宋"/>
                <w:b/>
                <w:bCs/>
                <w:i w:val="0"/>
                <w:iCs w:val="0"/>
                <w:caps w:val="0"/>
                <w:color w:val="010000"/>
                <w:spacing w:val="0"/>
                <w:sz w:val="30"/>
                <w:szCs w:val="30"/>
                <w:highlight w:val="none"/>
                <w:u w:val="none"/>
                <w:shd w:val="clear" w:color="auto" w:fill="FFFFFF"/>
                <w:lang w:val="en-US" w:eastAsia="zh-CN"/>
              </w:rPr>
              <w:t>得2分。</w:t>
            </w:r>
          </w:p>
          <w:p>
            <w:pPr>
              <w:keepNext w:val="0"/>
              <w:keepLines w:val="0"/>
              <w:pageBreakBefore w:val="0"/>
              <w:kinsoku/>
              <w:wordWrap/>
              <w:overflowPunct/>
              <w:topLinePunct w:val="0"/>
              <w:autoSpaceDE/>
              <w:autoSpaceDN/>
              <w:bidi w:val="0"/>
              <w:adjustRightInd/>
              <w:snapToGrid/>
              <w:spacing w:line="570" w:lineRule="exact"/>
              <w:ind w:firstLine="600" w:firstLineChars="200"/>
              <w:textAlignment w:val="auto"/>
              <w:rPr>
                <w:rFonts w:ascii="仿宋_GB2312" w:hAnsi="Calibri" w:eastAsia="仿宋_GB2312" w:cs="仿宋_GB2312"/>
                <w:kern w:val="0"/>
                <w:sz w:val="32"/>
                <w:szCs w:val="32"/>
                <w:lang w:val="zh-CN"/>
              </w:rPr>
            </w:pPr>
            <w:r>
              <w:rPr>
                <w:rFonts w:hint="eastAsia" w:ascii="仿宋" w:hAnsi="仿宋" w:eastAsia="仿宋" w:cs="仿宋"/>
                <w:kern w:val="0"/>
                <w:sz w:val="30"/>
                <w:szCs w:val="30"/>
                <w:highlight w:val="none"/>
                <w:lang w:val="zh-CN"/>
              </w:rPr>
              <w:t>扎实推进农村房地一体确权登记。全市农村房地一体确权登记工作有序推进，应发证总数125.53万本，已登记发证数111.38万本，发证比例达到88.8%，房地一体调查成果、数据库质量均已通过县级初检、市级核查、省级验收</w:t>
            </w:r>
            <w:r>
              <w:rPr>
                <w:rFonts w:hint="eastAsia" w:ascii="仿宋" w:hAnsi="仿宋" w:eastAsia="仿宋" w:cs="仿宋"/>
                <w:kern w:val="0"/>
                <w:sz w:val="30"/>
                <w:szCs w:val="30"/>
                <w:lang w:val="zh-CN"/>
              </w:rPr>
              <w:t>。</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2</w:t>
            </w:r>
            <w:r>
              <w:rPr>
                <w:rFonts w:hint="eastAsia" w:ascii="仿宋" w:hAnsi="仿宋" w:eastAsia="仿宋" w:cs="仿宋"/>
                <w:sz w:val="30"/>
                <w:szCs w:val="30"/>
              </w:rPr>
              <w:t>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rPr>
              <w:t>⑤市本级发放不动产证书6.19万本，发放证明4.025万本；不动产抵押3.09万宗，抵押金额684.3亿元；处理历史遗留问题2017件</w:t>
            </w:r>
            <w:r>
              <w:rPr>
                <w:rFonts w:hint="eastAsia" w:ascii="仿宋" w:hAnsi="仿宋" w:eastAsia="仿宋" w:cs="仿宋"/>
                <w:b/>
                <w:bCs/>
                <w:sz w:val="30"/>
                <w:szCs w:val="30"/>
                <w:highlight w:val="none"/>
                <w:lang w:eastAsia="zh-CN"/>
              </w:rPr>
              <w:t>，</w:t>
            </w:r>
            <w:r>
              <w:rPr>
                <w:rFonts w:hint="eastAsia" w:ascii="仿宋" w:hAnsi="仿宋" w:eastAsia="仿宋" w:cs="仿宋"/>
                <w:b/>
                <w:bCs/>
                <w:i w:val="0"/>
                <w:iCs w:val="0"/>
                <w:caps w:val="0"/>
                <w:color w:val="010000"/>
                <w:spacing w:val="0"/>
                <w:sz w:val="30"/>
                <w:szCs w:val="30"/>
                <w:highlight w:val="none"/>
                <w:u w:val="none"/>
                <w:shd w:val="clear" w:color="auto" w:fill="FFFFFF"/>
                <w:lang w:val="en-US" w:eastAsia="zh-CN"/>
              </w:rPr>
              <w:t>得2分。</w:t>
            </w:r>
          </w:p>
          <w:p>
            <w:pPr>
              <w:keepNext w:val="0"/>
              <w:keepLines w:val="0"/>
              <w:pageBreakBefore w:val="0"/>
              <w:kinsoku/>
              <w:wordWrap/>
              <w:overflowPunct/>
              <w:topLinePunct w:val="0"/>
              <w:autoSpaceDE/>
              <w:autoSpaceDN/>
              <w:bidi w:val="0"/>
              <w:adjustRightInd/>
              <w:snapToGrid/>
              <w:spacing w:line="57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全市发放不动产证书33.63万本，发放证明14.37万本；不动产抵押10.2万宗，抵押金额1557.12亿元（工业抵押金额240.91亿元）；市本级发放不动产证书6.19万本，发放证明4.025万本；不动产抵押3.09万宗，抵押金额684.3亿元；处理历史遗留问题2017件。</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2</w:t>
            </w:r>
            <w:r>
              <w:rPr>
                <w:rFonts w:hint="eastAsia" w:ascii="仿宋" w:hAnsi="仿宋" w:eastAsia="仿宋" w:cs="仿宋"/>
                <w:sz w:val="30"/>
                <w:szCs w:val="30"/>
              </w:rPr>
              <w:t>分。</w:t>
            </w:r>
          </w:p>
          <w:p>
            <w:pPr>
              <w:pStyle w:val="6"/>
              <w:pageBreakBefore w:val="0"/>
              <w:widowControl w:val="0"/>
              <w:numPr>
                <w:ilvl w:val="0"/>
                <w:numId w:val="0"/>
              </w:numPr>
              <w:kinsoku/>
              <w:wordWrap/>
              <w:overflowPunct/>
              <w:topLinePunct w:val="0"/>
              <w:autoSpaceDE/>
              <w:autoSpaceDN/>
              <w:bidi w:val="0"/>
              <w:adjustRightInd/>
              <w:snapToGrid/>
              <w:ind w:firstLine="420" w:firstLineChars="200"/>
              <w:jc w:val="both"/>
              <w:rPr>
                <w:rFonts w:hint="default"/>
              </w:rPr>
            </w:pPr>
          </w:p>
          <w:p>
            <w:pPr>
              <w:pageBreakBefore w:val="0"/>
              <w:kinsoku/>
              <w:wordWrap/>
              <w:overflowPunct/>
              <w:topLinePunct w:val="0"/>
              <w:autoSpaceDE/>
              <w:autoSpaceDN/>
              <w:bidi w:val="0"/>
              <w:adjustRightInd/>
              <w:snapToGrid/>
              <w:spacing w:line="360" w:lineRule="auto"/>
              <w:ind w:firstLine="642" w:firstLineChars="200"/>
              <w:rPr>
                <w:rFonts w:hint="eastAsia" w:ascii="楷体" w:hAnsi="楷体" w:eastAsia="楷体" w:cs="楷体"/>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color w:val="000000"/>
                <w:sz w:val="32"/>
                <w:szCs w:val="32"/>
              </w:rPr>
              <w:t>质量指标完成情况较好得</w:t>
            </w:r>
            <w:r>
              <w:rPr>
                <w:rFonts w:hint="eastAsia" w:ascii="楷体" w:hAnsi="楷体" w:eastAsia="楷体" w:cs="楷体"/>
                <w:b/>
                <w:bCs/>
                <w:color w:val="000000"/>
                <w:sz w:val="32"/>
                <w:szCs w:val="32"/>
                <w:lang w:val="en-US" w:eastAsia="zh-CN"/>
              </w:rPr>
              <w:t>10</w:t>
            </w:r>
            <w:r>
              <w:rPr>
                <w:rFonts w:hint="eastAsia" w:ascii="楷体" w:hAnsi="楷体" w:eastAsia="楷体" w:cs="楷体"/>
                <w:b/>
                <w:bCs/>
                <w:color w:val="000000"/>
                <w:sz w:val="32"/>
                <w:szCs w:val="32"/>
              </w:rPr>
              <w:t>分。</w:t>
            </w:r>
          </w:p>
          <w:p>
            <w:pPr>
              <w:pageBreakBefore w:val="0"/>
              <w:kinsoku/>
              <w:wordWrap/>
              <w:overflowPunct/>
              <w:topLinePunct w:val="0"/>
              <w:autoSpaceDE/>
              <w:autoSpaceDN/>
              <w:bidi w:val="0"/>
              <w:adjustRightInd/>
              <w:snapToGrid/>
              <w:spacing w:line="60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b/>
                <w:bCs/>
                <w:sz w:val="30"/>
                <w:szCs w:val="30"/>
                <w:highlight w:val="none"/>
              </w:rPr>
              <w:t>①宜春市基础测绘“十四五”规划（2021-2025）》通过了厅组织专家组织的评审</w:t>
            </w:r>
            <w:r>
              <w:rPr>
                <w:rFonts w:hint="eastAsia" w:ascii="仿宋" w:hAnsi="仿宋" w:eastAsia="仿宋" w:cs="仿宋"/>
                <w:b/>
                <w:bCs/>
                <w:sz w:val="30"/>
                <w:szCs w:val="30"/>
                <w:highlight w:val="none"/>
                <w:lang w:eastAsia="zh-CN"/>
              </w:rPr>
              <w:t>，</w:t>
            </w:r>
            <w:r>
              <w:rPr>
                <w:rFonts w:hint="eastAsia" w:ascii="仿宋" w:hAnsi="仿宋" w:eastAsia="仿宋" w:cs="仿宋"/>
                <w:b/>
                <w:bCs/>
                <w:kern w:val="0"/>
                <w:sz w:val="30"/>
                <w:szCs w:val="30"/>
                <w:highlight w:val="none"/>
                <w:lang w:val="en-US" w:eastAsia="zh-CN"/>
              </w:rPr>
              <w:t>得4分。</w:t>
            </w:r>
          </w:p>
          <w:p>
            <w:pPr>
              <w:pageBreakBefore w:val="0"/>
              <w:kinsoku/>
              <w:wordWrap/>
              <w:overflowPunct/>
              <w:topLinePunct w:val="0"/>
              <w:autoSpaceDE/>
              <w:autoSpaceDN/>
              <w:bidi w:val="0"/>
              <w:adjustRightInd/>
              <w:snapToGrid/>
              <w:spacing w:line="570" w:lineRule="exact"/>
              <w:ind w:firstLine="600" w:firstLineChars="200"/>
              <w:rPr>
                <w:rFonts w:hint="eastAsia" w:ascii="仿宋" w:hAnsi="仿宋" w:eastAsia="仿宋" w:cs="仿宋"/>
                <w:b/>
                <w:sz w:val="30"/>
                <w:szCs w:val="30"/>
                <w:highlight w:val="none"/>
              </w:rPr>
            </w:pPr>
            <w:r>
              <w:rPr>
                <w:rFonts w:hint="eastAsia" w:ascii="仿宋" w:hAnsi="仿宋" w:eastAsia="仿宋" w:cs="仿宋"/>
                <w:kern w:val="0"/>
                <w:sz w:val="30"/>
                <w:szCs w:val="30"/>
                <w:highlight w:val="none"/>
                <w:lang w:val="zh-CN"/>
              </w:rPr>
              <w:t>扎实做好专项规划编制。完成市级第四轮矿产资源总体规划初稿，已编制并发布《宜春市矿山地质环境保护与治理规划》（2019年-2025年）；宜春市基础测绘“十四五”规划（2021-2025）》通过了厅组织专家组织的评审。</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4</w:t>
            </w:r>
            <w:r>
              <w:rPr>
                <w:rFonts w:hint="eastAsia" w:ascii="仿宋" w:hAnsi="仿宋" w:eastAsia="仿宋" w:cs="仿宋"/>
                <w:sz w:val="30"/>
                <w:szCs w:val="30"/>
              </w:rPr>
              <w:t>分。</w:t>
            </w:r>
          </w:p>
          <w:p>
            <w:pPr>
              <w:pStyle w:val="2"/>
              <w:pageBreakBefore w:val="0"/>
              <w:kinsoku/>
              <w:wordWrap/>
              <w:overflowPunct/>
              <w:topLinePunct w:val="0"/>
              <w:autoSpaceDE/>
              <w:autoSpaceDN/>
              <w:bidi w:val="0"/>
              <w:adjustRightInd/>
              <w:snapToGrid/>
              <w:ind w:firstLine="600"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②</w:t>
            </w:r>
            <w:r>
              <w:rPr>
                <w:rFonts w:hint="eastAsia" w:ascii="仿宋" w:hAnsi="仿宋" w:eastAsia="仿宋" w:cs="仿宋"/>
                <w:sz w:val="30"/>
                <w:szCs w:val="30"/>
                <w:highlight w:val="none"/>
              </w:rPr>
              <w:t>开展矿山生态环境问题大排查大整治专项行动，整改完成率达99.4%，列全省第一</w:t>
            </w:r>
            <w:r>
              <w:rPr>
                <w:rFonts w:hint="eastAsia" w:ascii="仿宋" w:hAnsi="仿宋" w:eastAsia="仿宋" w:cs="仿宋"/>
                <w:sz w:val="30"/>
                <w:szCs w:val="30"/>
                <w:highlight w:val="none"/>
                <w:lang w:eastAsia="zh-CN"/>
              </w:rPr>
              <w:t>，</w:t>
            </w:r>
            <w:r>
              <w:rPr>
                <w:rFonts w:hint="eastAsia" w:ascii="仿宋" w:hAnsi="仿宋" w:eastAsia="仿宋" w:cs="仿宋"/>
                <w:b/>
                <w:bCs/>
                <w:kern w:val="0"/>
                <w:sz w:val="30"/>
                <w:szCs w:val="30"/>
                <w:highlight w:val="none"/>
                <w:lang w:val="en-US" w:eastAsia="zh-CN"/>
              </w:rPr>
              <w:t>得3分。</w:t>
            </w:r>
          </w:p>
          <w:p>
            <w:pPr>
              <w:pageBreakBefore w:val="0"/>
              <w:kinsoku/>
              <w:wordWrap/>
              <w:overflowPunct/>
              <w:topLinePunct w:val="0"/>
              <w:autoSpaceDE/>
              <w:autoSpaceDN/>
              <w:bidi w:val="0"/>
              <w:adjustRightInd/>
              <w:snapToGrid/>
              <w:spacing w:line="570" w:lineRule="exact"/>
              <w:ind w:firstLine="600" w:firstLineChars="200"/>
              <w:rPr>
                <w:rFonts w:hint="eastAsia" w:ascii="仿宋" w:hAnsi="仿宋" w:eastAsia="仿宋" w:cs="仿宋"/>
                <w:sz w:val="30"/>
                <w:szCs w:val="30"/>
              </w:rPr>
            </w:pPr>
            <w:r>
              <w:rPr>
                <w:rFonts w:hint="eastAsia" w:ascii="仿宋" w:hAnsi="仿宋" w:eastAsia="仿宋" w:cs="仿宋"/>
                <w:sz w:val="30"/>
                <w:szCs w:val="30"/>
                <w:highlight w:val="none"/>
              </w:rPr>
              <w:t>全面推进全市矿山生态整治专项攻坚行动，开展矿山生态环境问题大排查大整治专项行动，整改完成率达99.4%，列全省第一。</w:t>
            </w:r>
            <w:r>
              <w:rPr>
                <w:rFonts w:hint="eastAsia" w:ascii="仿宋" w:hAnsi="仿宋" w:eastAsia="仿宋" w:cs="仿宋"/>
                <w:sz w:val="30"/>
                <w:szCs w:val="30"/>
              </w:rPr>
              <w:t>该项指标得</w:t>
            </w:r>
            <w:r>
              <w:rPr>
                <w:rFonts w:hint="eastAsia" w:ascii="仿宋" w:hAnsi="仿宋" w:eastAsia="仿宋" w:cs="仿宋"/>
                <w:sz w:val="30"/>
                <w:szCs w:val="30"/>
                <w:lang w:val="en-US" w:eastAsia="zh-CN"/>
              </w:rPr>
              <w:t>3</w:t>
            </w:r>
            <w:r>
              <w:rPr>
                <w:rFonts w:hint="eastAsia" w:ascii="仿宋" w:hAnsi="仿宋" w:eastAsia="仿宋" w:cs="仿宋"/>
                <w:sz w:val="30"/>
                <w:szCs w:val="30"/>
              </w:rPr>
              <w:t>分。</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eastAsia" w:ascii="仿宋" w:hAnsi="仿宋" w:eastAsia="仿宋" w:cs="仿宋"/>
                <w:sz w:val="30"/>
                <w:szCs w:val="30"/>
                <w:lang w:val="en-US" w:eastAsia="zh-CN"/>
              </w:rPr>
            </w:pPr>
            <w:r>
              <w:rPr>
                <w:rFonts w:hint="eastAsia" w:ascii="仿宋" w:hAnsi="仿宋" w:eastAsia="仿宋" w:cs="仿宋"/>
                <w:b/>
                <w:bCs/>
                <w:sz w:val="30"/>
                <w:szCs w:val="30"/>
              </w:rPr>
              <w:t>③</w:t>
            </w:r>
            <w:r>
              <w:rPr>
                <w:rFonts w:hint="eastAsia" w:ascii="仿宋" w:hAnsi="仿宋" w:eastAsia="仿宋" w:cs="仿宋"/>
                <w:b/>
                <w:bCs/>
                <w:sz w:val="30"/>
                <w:szCs w:val="30"/>
                <w:highlight w:val="none"/>
              </w:rPr>
              <w:t>违法用地整改到位率列全省</w:t>
            </w:r>
            <w:r>
              <w:rPr>
                <w:rFonts w:hint="eastAsia" w:ascii="仿宋" w:hAnsi="仿宋" w:eastAsia="仿宋" w:cs="仿宋"/>
                <w:b/>
                <w:bCs/>
                <w:sz w:val="30"/>
                <w:szCs w:val="30"/>
                <w:highlight w:val="none"/>
                <w:lang w:val="en-US" w:eastAsia="zh-CN"/>
              </w:rPr>
              <w:t>前列</w:t>
            </w:r>
            <w:r>
              <w:rPr>
                <w:rFonts w:hint="eastAsia" w:ascii="仿宋" w:hAnsi="仿宋" w:eastAsia="仿宋" w:cs="仿宋"/>
                <w:b/>
                <w:bCs/>
                <w:sz w:val="30"/>
                <w:szCs w:val="30"/>
                <w:highlight w:val="none"/>
              </w:rPr>
              <w:t>，且连续三年实现国家和省级层面市县两级零约谈、零问责</w:t>
            </w:r>
            <w:r>
              <w:rPr>
                <w:rFonts w:hint="eastAsia" w:ascii="仿宋" w:hAnsi="仿宋" w:eastAsia="仿宋" w:cs="仿宋"/>
                <w:b/>
                <w:bCs/>
                <w:sz w:val="30"/>
                <w:szCs w:val="30"/>
                <w:highlight w:val="none"/>
                <w:lang w:eastAsia="zh-CN"/>
              </w:rPr>
              <w:t>，</w:t>
            </w:r>
            <w:r>
              <w:rPr>
                <w:rFonts w:hint="eastAsia" w:ascii="仿宋" w:hAnsi="仿宋" w:eastAsia="仿宋" w:cs="仿宋"/>
                <w:b/>
                <w:bCs/>
                <w:kern w:val="0"/>
                <w:sz w:val="30"/>
                <w:szCs w:val="30"/>
                <w:lang w:val="en-US" w:eastAsia="zh-CN"/>
              </w:rPr>
              <w:t>得3分。</w:t>
            </w:r>
          </w:p>
          <w:p>
            <w:pPr>
              <w:pStyle w:val="2"/>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kern w:val="2"/>
                <w:sz w:val="30"/>
                <w:szCs w:val="30"/>
                <w:highlight w:val="none"/>
                <w:lang w:val="en-US" w:eastAsia="zh-CN" w:bidi="ar-SA"/>
              </w:rPr>
            </w:pPr>
            <w:r>
              <w:rPr>
                <w:rFonts w:hint="eastAsia" w:ascii="仿宋" w:hAnsi="仿宋" w:eastAsia="仿宋" w:cs="仿宋"/>
                <w:b w:val="0"/>
                <w:bCs w:val="0"/>
                <w:kern w:val="2"/>
                <w:sz w:val="30"/>
                <w:szCs w:val="30"/>
                <w:highlight w:val="none"/>
                <w:lang w:val="en-US" w:eastAsia="zh-CN" w:bidi="ar-SA"/>
              </w:rPr>
              <w:t>狠抓问题整改。宜春市2019年例行督察共反馈限期整改类问题1062个，涉及土地面积1.22万亩，已整改到位并通过南京局审核的按宗数和面积计算，分别达93.5%、96.78%。位列全省第二，其中2020年度全市卫片发现违法用地整改到位率列全省第一，且连续三年实现国家和省级层面市县两级零约谈、零问责。该项指标得3分。</w:t>
            </w:r>
          </w:p>
          <w:p>
            <w:pPr>
              <w:pageBreakBefore w:val="0"/>
              <w:kinsoku/>
              <w:wordWrap/>
              <w:overflowPunct/>
              <w:topLinePunct w:val="0"/>
              <w:autoSpaceDE/>
              <w:autoSpaceDN/>
              <w:bidi w:val="0"/>
              <w:adjustRightInd/>
              <w:snapToGrid/>
              <w:spacing w:line="360" w:lineRule="auto"/>
              <w:ind w:firstLine="642"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3、时效指标（5分）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①推行不动产登记网上“一次办”</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实现“减事项、减材料、减环节、减时限”</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得2.5分。</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rPr>
              <w:t>推行不动产登记网上“一次办”、抵押登记进银行、自助移动查询服务、“外网申请、内网审核”，实现与税务、住建部门信息共享，实现“减事项、减材料、减环节、减时限”，一般登记3个工作日办结，抵押登记1个工作日办结，部分业务即来即办。</w:t>
            </w:r>
            <w:r>
              <w:rPr>
                <w:rFonts w:hint="eastAsia" w:ascii="仿宋" w:hAnsi="仿宋" w:eastAsia="仿宋" w:cs="仿宋"/>
                <w:sz w:val="30"/>
                <w:szCs w:val="30"/>
                <w:lang w:val="en-US" w:eastAsia="zh-CN"/>
              </w:rPr>
              <w:t>该指标得2.5分。</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default" w:ascii="仿宋" w:hAnsi="仿宋" w:eastAsia="仿宋" w:cs="仿宋"/>
                <w:sz w:val="30"/>
                <w:szCs w:val="30"/>
                <w:lang w:val="en-US" w:eastAsia="zh-CN"/>
              </w:rPr>
            </w:pPr>
            <w:r>
              <w:rPr>
                <w:rFonts w:hint="eastAsia" w:ascii="仿宋" w:hAnsi="仿宋" w:eastAsia="仿宋" w:cs="仿宋"/>
                <w:b/>
                <w:bCs/>
                <w:sz w:val="30"/>
                <w:szCs w:val="30"/>
                <w:highlight w:val="none"/>
              </w:rPr>
              <w:t>②项目审批加速提速</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得2.5分。</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规划、用地、矿管主要业务审批事项均网上受理，将项目规划建筑方案审批时限缩短5个工作日；采矿权转让审批办理时限由原来的25个工作日压缩至13个工作日；申请报部备案的土地整治项目，由3个工作日压缩到1个工作日，对中心城区的土地开发整治项目实地核查时限，由7个工作日缩减到3个工作日</w:t>
            </w:r>
            <w:r>
              <w:rPr>
                <w:rFonts w:hint="eastAsia" w:ascii="仿宋" w:hAnsi="仿宋" w:eastAsia="仿宋" w:cs="仿宋"/>
                <w:sz w:val="30"/>
                <w:szCs w:val="30"/>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420" w:leftChars="0" w:firstLine="602" w:firstLineChars="200"/>
              <w:jc w:val="left"/>
              <w:textAlignment w:val="center"/>
              <w:rPr>
                <w:rFonts w:hint="default"/>
              </w:rPr>
            </w:pPr>
            <w:r>
              <w:rPr>
                <w:rFonts w:hint="eastAsia" w:ascii="黑体" w:hAnsi="黑体" w:eastAsia="黑体" w:cs="黑体"/>
                <w:b/>
                <w:bCs/>
                <w:sz w:val="30"/>
                <w:szCs w:val="30"/>
                <w:lang w:val="en-US" w:eastAsia="zh-CN"/>
              </w:rPr>
              <w:t>（三）</w:t>
            </w:r>
            <w:r>
              <w:rPr>
                <w:rFonts w:hint="default" w:ascii="黑体" w:hAnsi="黑体" w:eastAsia="黑体" w:cs="黑体"/>
                <w:b/>
                <w:bCs/>
                <w:sz w:val="30"/>
                <w:szCs w:val="30"/>
                <w:lang w:val="en-US" w:eastAsia="zh-CN"/>
              </w:rPr>
              <w:t>履职效果情况：</w:t>
            </w:r>
            <w:r>
              <w:rPr>
                <w:rFonts w:hint="eastAsia" w:ascii="黑体" w:hAnsi="黑体" w:eastAsia="黑体" w:cs="黑体"/>
                <w:b/>
                <w:bCs/>
                <w:sz w:val="30"/>
                <w:szCs w:val="30"/>
                <w:lang w:val="en-US" w:eastAsia="zh-CN"/>
              </w:rPr>
              <w:t>（35分）</w:t>
            </w:r>
          </w:p>
          <w:p>
            <w:pPr>
              <w:pageBreakBefore w:val="0"/>
              <w:numPr>
                <w:ilvl w:val="0"/>
                <w:numId w:val="1"/>
              </w:numPr>
              <w:kinsoku/>
              <w:wordWrap/>
              <w:overflowPunct/>
              <w:topLinePunct w:val="0"/>
              <w:autoSpaceDE/>
              <w:autoSpaceDN/>
              <w:bidi w:val="0"/>
              <w:adjustRightInd/>
              <w:snapToGrid/>
              <w:spacing w:line="570" w:lineRule="exact"/>
              <w:ind w:firstLine="642" w:firstLineChars="200"/>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经济效益指标</w:t>
            </w:r>
            <w:r>
              <w:rPr>
                <w:rFonts w:hint="eastAsia" w:ascii="仿宋_GB2312" w:hAnsi="楷体_GB2312" w:eastAsia="仿宋_GB2312" w:cs="楷体_GB2312"/>
                <w:b/>
                <w:sz w:val="32"/>
                <w:szCs w:val="32"/>
                <w:lang w:eastAsia="zh-CN"/>
              </w:rPr>
              <w:t>（</w:t>
            </w:r>
            <w:r>
              <w:rPr>
                <w:rFonts w:hint="eastAsia" w:ascii="仿宋_GB2312" w:hAnsi="楷体_GB2312" w:eastAsia="仿宋_GB2312" w:cs="楷体_GB2312"/>
                <w:b/>
                <w:sz w:val="32"/>
                <w:szCs w:val="32"/>
                <w:lang w:val="en-US" w:eastAsia="zh-CN"/>
              </w:rPr>
              <w:t>10分</w:t>
            </w:r>
            <w:r>
              <w:rPr>
                <w:rFonts w:hint="eastAsia" w:ascii="仿宋_GB2312" w:hAnsi="楷体_GB2312" w:eastAsia="仿宋_GB2312" w:cs="楷体_GB2312"/>
                <w:b/>
                <w:sz w:val="32"/>
                <w:szCs w:val="32"/>
                <w:lang w:eastAsia="zh-CN"/>
              </w:rPr>
              <w:t>）</w:t>
            </w:r>
          </w:p>
          <w:p>
            <w:pPr>
              <w:pageBreakBefore w:val="0"/>
              <w:numPr>
                <w:ilvl w:val="0"/>
                <w:numId w:val="0"/>
              </w:numPr>
              <w:kinsoku/>
              <w:wordWrap/>
              <w:overflowPunct/>
              <w:topLinePunct w:val="0"/>
              <w:autoSpaceDE/>
              <w:autoSpaceDN/>
              <w:bidi w:val="0"/>
              <w:adjustRightInd/>
              <w:snapToGrid/>
              <w:spacing w:line="570" w:lineRule="exact"/>
              <w:ind w:firstLine="600" w:firstLineChars="200"/>
              <w:rPr>
                <w:rFonts w:hint="eastAsia" w:ascii="仿宋" w:hAnsi="仿宋" w:eastAsia="仿宋" w:cs="仿宋"/>
                <w:b/>
                <w:sz w:val="30"/>
                <w:szCs w:val="30"/>
              </w:rPr>
            </w:pPr>
            <w:r>
              <w:rPr>
                <w:rFonts w:hint="eastAsia" w:ascii="仿宋" w:hAnsi="仿宋" w:eastAsia="仿宋" w:cs="仿宋"/>
                <w:b/>
                <w:bCs/>
                <w:sz w:val="30"/>
                <w:szCs w:val="30"/>
                <w:highlight w:val="none"/>
              </w:rPr>
              <w:t>①</w:t>
            </w:r>
            <w:r>
              <w:rPr>
                <w:rFonts w:eastAsia="仿宋_GB2312"/>
                <w:b/>
                <w:bCs/>
                <w:sz w:val="32"/>
                <w:szCs w:val="32"/>
              </w:rPr>
              <w:t>助推乡村振兴</w:t>
            </w:r>
            <w:r>
              <w:rPr>
                <w:rFonts w:hint="eastAsia" w:ascii="仿宋" w:hAnsi="仿宋" w:eastAsia="仿宋" w:cs="仿宋"/>
                <w:b/>
                <w:sz w:val="30"/>
                <w:szCs w:val="30"/>
              </w:rPr>
              <w:t>。</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rPr>
              <w:t>实行农村村民住宅建设用地计划指标专项保障，全市共报批农民建房29个批次，面积1093.29亩，农村宅基地用地刚性需求做到了应保尽保。全市设施农用地共上图入库1127宗，面积1.34万亩。全市共批准村庄集体建设用地214.40亩（含农村一二三产业融合发展用地7.68亩），保障乡镇公共设施、公益事业建设和农村一二三产业融合发展合理用地需求</w:t>
            </w:r>
            <w:r>
              <w:rPr>
                <w:rFonts w:hint="eastAsia" w:ascii="仿宋" w:hAnsi="仿宋" w:eastAsia="仿宋" w:cs="仿宋"/>
                <w:sz w:val="30"/>
                <w:szCs w:val="30"/>
                <w:lang w:eastAsia="zh-CN"/>
              </w:rPr>
              <w:t>，</w:t>
            </w:r>
            <w:r>
              <w:rPr>
                <w:rFonts w:hint="eastAsia" w:ascii="仿宋" w:hAnsi="仿宋" w:eastAsia="仿宋" w:cs="仿宋"/>
                <w:kern w:val="0"/>
                <w:sz w:val="30"/>
                <w:szCs w:val="30"/>
                <w:lang w:val="en-US" w:eastAsia="zh-CN"/>
              </w:rPr>
              <w:t>助推农村经济发展。</w:t>
            </w:r>
            <w:r>
              <w:rPr>
                <w:rFonts w:hint="eastAsia" w:ascii="仿宋" w:hAnsi="仿宋" w:eastAsia="仿宋" w:cs="仿宋"/>
                <w:sz w:val="30"/>
                <w:szCs w:val="30"/>
                <w:lang w:val="en-US" w:eastAsia="zh-CN"/>
              </w:rPr>
              <w:t>该指标得5分。</w:t>
            </w:r>
          </w:p>
          <w:p>
            <w:pPr>
              <w:pageBreakBefore w:val="0"/>
              <w:kinsoku/>
              <w:wordWrap/>
              <w:overflowPunct/>
              <w:topLinePunct w:val="0"/>
              <w:autoSpaceDE/>
              <w:autoSpaceDN/>
              <w:bidi w:val="0"/>
              <w:adjustRightInd/>
              <w:snapToGrid/>
              <w:spacing w:line="570" w:lineRule="exact"/>
              <w:ind w:firstLine="600" w:firstLineChars="200"/>
              <w:rPr>
                <w:rFonts w:hint="eastAsia" w:ascii="仿宋_GB2312" w:hAnsi="楷体_GB2312" w:eastAsia="仿宋_GB2312" w:cs="楷体_GB2312"/>
                <w:b/>
                <w:sz w:val="32"/>
                <w:szCs w:val="32"/>
              </w:rPr>
            </w:pPr>
            <w:r>
              <w:rPr>
                <w:rFonts w:hint="eastAsia" w:ascii="仿宋" w:hAnsi="仿宋" w:eastAsia="仿宋" w:cs="仿宋"/>
                <w:b/>
                <w:bCs/>
                <w:sz w:val="30"/>
                <w:szCs w:val="30"/>
                <w:highlight w:val="none"/>
              </w:rPr>
              <w:t>②</w:t>
            </w:r>
            <w:r>
              <w:rPr>
                <w:rFonts w:hint="eastAsia" w:ascii="仿宋_GB2312" w:hAnsi="楷体_GB2312" w:eastAsia="仿宋_GB2312" w:cs="楷体_GB2312"/>
                <w:b/>
                <w:sz w:val="32"/>
                <w:szCs w:val="32"/>
                <w:highlight w:val="none"/>
              </w:rPr>
              <w:t>保持土地市场稳定向好。</w:t>
            </w:r>
          </w:p>
          <w:p>
            <w:pPr>
              <w:pStyle w:val="6"/>
              <w:pageBreakBefore w:val="0"/>
              <w:widowControl w:val="0"/>
              <w:numPr>
                <w:ilvl w:val="0"/>
                <w:numId w:val="0"/>
              </w:numPr>
              <w:kinsoku/>
              <w:wordWrap/>
              <w:overflowPunct/>
              <w:topLinePunct w:val="0"/>
              <w:autoSpaceDE/>
              <w:autoSpaceDN/>
              <w:bidi w:val="0"/>
              <w:adjustRightInd/>
              <w:snapToGrid/>
              <w:ind w:firstLine="640" w:firstLineChars="200"/>
              <w:jc w:val="both"/>
              <w:rPr>
                <w:rFonts w:hint="eastAsia" w:ascii="仿宋" w:hAnsi="仿宋" w:eastAsia="仿宋" w:cs="仿宋"/>
                <w:sz w:val="30"/>
                <w:szCs w:val="30"/>
                <w:highlight w:val="yellow"/>
                <w:lang w:val="en-US" w:eastAsia="zh-CN"/>
              </w:rPr>
            </w:pPr>
            <w:r>
              <w:rPr>
                <w:rFonts w:hint="eastAsia" w:ascii="仿宋_GB2312" w:hAnsi="宋体" w:eastAsia="仿宋_GB2312"/>
                <w:sz w:val="32"/>
                <w:szCs w:val="32"/>
              </w:rPr>
              <w:t>市本级和9个县（市、区）（铜鼓县除外）完成土地征收成片开发方案编制，其中市本级和7个县（市、区）已获省政府批复。2021年，全市共出让土地609宗，面积2.42万亩，出让收益233.91亿元。其中市本级共出让土地43宗，面积4900.7亩，出让收益48.58亿元。全市成交采矿权1宗，面积0.205平方公里，成交价1500万元。</w:t>
            </w:r>
            <w:r>
              <w:rPr>
                <w:rFonts w:hint="eastAsia" w:ascii="仿宋" w:hAnsi="仿宋" w:eastAsia="仿宋" w:cs="仿宋"/>
                <w:sz w:val="30"/>
                <w:szCs w:val="30"/>
                <w:lang w:val="en-US" w:eastAsia="zh-CN"/>
              </w:rPr>
              <w:t>该指标得5分。</w:t>
            </w:r>
          </w:p>
          <w:p>
            <w:pPr>
              <w:pStyle w:val="4"/>
              <w:keepNext/>
              <w:keepLines/>
              <w:pageBreakBefore w:val="0"/>
              <w:widowControl w:val="0"/>
              <w:numPr>
                <w:ilvl w:val="0"/>
                <w:numId w:val="0"/>
              </w:numPr>
              <w:kinsoku/>
              <w:wordWrap/>
              <w:overflowPunct/>
              <w:topLinePunct w:val="0"/>
              <w:autoSpaceDE/>
              <w:autoSpaceDN/>
              <w:bidi w:val="0"/>
              <w:adjustRightInd/>
              <w:snapToGrid/>
              <w:ind w:firstLine="642" w:firstLineChars="200"/>
              <w:textAlignment w:val="auto"/>
              <w:rPr>
                <w:rStyle w:val="19"/>
                <w:rFonts w:hint="eastAsia" w:ascii="楷体" w:hAnsi="楷体" w:eastAsia="楷体" w:cs="楷体"/>
                <w:b/>
                <w:bCs/>
                <w:kern w:val="2"/>
                <w:sz w:val="32"/>
                <w:szCs w:val="32"/>
                <w:highlight w:val="none"/>
                <w:lang w:val="en-US" w:eastAsia="zh-CN" w:bidi="ar-SA"/>
              </w:rPr>
            </w:pPr>
            <w:bookmarkStart w:id="20" w:name="_Toc13924"/>
            <w:r>
              <w:rPr>
                <w:rStyle w:val="19"/>
                <w:rFonts w:hint="eastAsia" w:ascii="楷体" w:hAnsi="楷体" w:eastAsia="楷体" w:cs="楷体"/>
                <w:b/>
                <w:bCs/>
                <w:kern w:val="2"/>
                <w:sz w:val="32"/>
                <w:szCs w:val="32"/>
                <w:highlight w:val="none"/>
                <w:lang w:val="en-US" w:eastAsia="zh-CN" w:bidi="ar-SA"/>
              </w:rPr>
              <w:t>2、社会效益方面（10分）</w:t>
            </w:r>
            <w:bookmarkEnd w:id="20"/>
          </w:p>
          <w:p>
            <w:pPr>
              <w:pageBreakBefore w:val="0"/>
              <w:kinsoku/>
              <w:wordWrap/>
              <w:overflowPunct/>
              <w:topLinePunct w:val="0"/>
              <w:autoSpaceDE/>
              <w:autoSpaceDN/>
              <w:bidi w:val="0"/>
              <w:adjustRightInd/>
              <w:snapToGrid/>
              <w:spacing w:line="570" w:lineRule="exact"/>
              <w:ind w:firstLine="600" w:firstLineChars="200"/>
              <w:rPr>
                <w:rFonts w:hint="eastAsia" w:ascii="仿宋_GB2312" w:hAnsi="楷体_GB2312" w:eastAsia="仿宋_GB2312" w:cs="楷体_GB2312"/>
                <w:b/>
                <w:sz w:val="32"/>
                <w:szCs w:val="32"/>
              </w:rPr>
            </w:pPr>
            <w:r>
              <w:rPr>
                <w:rFonts w:hint="eastAsia" w:ascii="仿宋" w:hAnsi="仿宋" w:eastAsia="仿宋" w:cs="仿宋"/>
                <w:b/>
                <w:bCs/>
                <w:sz w:val="30"/>
                <w:szCs w:val="30"/>
              </w:rPr>
              <w:t>①</w:t>
            </w:r>
            <w:r>
              <w:rPr>
                <w:rFonts w:hint="eastAsia" w:ascii="仿宋_GB2312" w:hAnsi="楷体_GB2312" w:eastAsia="仿宋_GB2312" w:cs="楷体_GB2312"/>
                <w:b/>
                <w:sz w:val="32"/>
                <w:szCs w:val="32"/>
              </w:rPr>
              <w:t>全力保障全市民生项目和重大项目的用地需求。</w:t>
            </w:r>
          </w:p>
          <w:p>
            <w:pPr>
              <w:pageBreakBefore w:val="0"/>
              <w:kinsoku/>
              <w:wordWrap/>
              <w:overflowPunct/>
              <w:topLinePunct w:val="0"/>
              <w:autoSpaceDE/>
              <w:autoSpaceDN/>
              <w:bidi w:val="0"/>
              <w:adjustRightInd/>
              <w:snapToGrid/>
              <w:spacing w:line="570" w:lineRule="exact"/>
              <w:ind w:firstLine="640" w:firstLineChars="200"/>
              <w:rPr>
                <w:rFonts w:hint="eastAsia" w:ascii="仿宋" w:hAnsi="仿宋" w:eastAsia="仿宋" w:cs="仿宋"/>
                <w:sz w:val="30"/>
                <w:szCs w:val="30"/>
              </w:rPr>
            </w:pPr>
            <w:r>
              <w:rPr>
                <w:rFonts w:hint="eastAsia" w:ascii="仿宋_GB2312" w:hAnsi="黑体" w:eastAsia="仿宋_GB2312"/>
                <w:sz w:val="32"/>
                <w:szCs w:val="32"/>
                <w:highlight w:val="none"/>
              </w:rPr>
              <w:t>全市共上报新增建设用地20919.45亩，批准新增建设用地23959.01亩，其中，已批准：方特项目422.85亩，宁德时代市经开区项目781.78亩，宜春至井冈山高速公路宜春城区三阳至新田段新建工程2327.19亩，宁德时代奉新项目339.32亩、宜丰项目300亩，国轩高科奉新项目248.80亩、宜丰项目69.11亩；已供地：宁德时代市经开区项目1794.75亩，国轩高科市经开区项目563.20亩，方特项目505.80亩,全力保障全市民生项目和重大项目的用地需求</w:t>
            </w:r>
            <w:r>
              <w:rPr>
                <w:rFonts w:hint="eastAsia" w:ascii="仿宋_GB2312" w:hAnsi="黑体" w:eastAsia="仿宋_GB2312"/>
                <w:sz w:val="32"/>
                <w:szCs w:val="32"/>
                <w:highlight w:val="none"/>
                <w:lang w:eastAsia="zh-CN"/>
              </w:rPr>
              <w:t>。</w:t>
            </w:r>
            <w:r>
              <w:rPr>
                <w:rFonts w:hint="eastAsia" w:ascii="仿宋" w:hAnsi="仿宋" w:eastAsia="仿宋" w:cs="仿宋"/>
                <w:sz w:val="30"/>
                <w:szCs w:val="30"/>
                <w:highlight w:val="none"/>
              </w:rPr>
              <w:t>该项指标得5分</w:t>
            </w:r>
          </w:p>
          <w:p>
            <w:pPr>
              <w:pageBreakBefore w:val="0"/>
              <w:kinsoku/>
              <w:wordWrap/>
              <w:overflowPunct/>
              <w:topLinePunct w:val="0"/>
              <w:autoSpaceDE/>
              <w:autoSpaceDN/>
              <w:bidi w:val="0"/>
              <w:adjustRightInd/>
              <w:snapToGrid/>
              <w:spacing w:line="570" w:lineRule="exact"/>
              <w:ind w:right="54" w:rightChars="26" w:firstLine="600" w:firstLineChars="200"/>
              <w:rPr>
                <w:rFonts w:hint="eastAsia" w:ascii="仿宋_GB2312" w:hAnsi="楷体_GB2312" w:eastAsia="仿宋_GB2312" w:cs="楷体_GB2312"/>
                <w:b/>
                <w:sz w:val="32"/>
              </w:rPr>
            </w:pPr>
            <w:r>
              <w:rPr>
                <w:rFonts w:hint="eastAsia" w:ascii="仿宋" w:hAnsi="仿宋" w:eastAsia="仿宋" w:cs="仿宋"/>
                <w:b/>
                <w:bCs/>
                <w:sz w:val="30"/>
                <w:szCs w:val="30"/>
              </w:rPr>
              <w:t>②</w:t>
            </w:r>
            <w:r>
              <w:rPr>
                <w:rFonts w:hint="eastAsia" w:ascii="仿宋_GB2312" w:hAnsi="楷体_GB2312" w:eastAsia="仿宋_GB2312" w:cs="楷体_GB2312"/>
                <w:b/>
                <w:sz w:val="32"/>
              </w:rPr>
              <w:t>出台《支持宜春中心城区强起来服务举措十五条》。</w:t>
            </w:r>
          </w:p>
          <w:p>
            <w:pPr>
              <w:pageBreakBefore w:val="0"/>
              <w:kinsoku/>
              <w:wordWrap/>
              <w:overflowPunct/>
              <w:topLinePunct w:val="0"/>
              <w:autoSpaceDE/>
              <w:autoSpaceDN/>
              <w:bidi w:val="0"/>
              <w:adjustRightInd/>
              <w:snapToGrid/>
              <w:spacing w:line="570" w:lineRule="exact"/>
              <w:ind w:right="54" w:rightChars="26" w:firstLine="640" w:firstLineChars="200"/>
              <w:rPr>
                <w:rFonts w:hint="eastAsia" w:ascii="仿宋" w:hAnsi="仿宋" w:eastAsia="仿宋" w:cs="仿宋"/>
                <w:b/>
                <w:bCs/>
                <w:sz w:val="30"/>
                <w:szCs w:val="30"/>
                <w:lang w:eastAsia="zh-CN"/>
              </w:rPr>
            </w:pPr>
            <w:r>
              <w:rPr>
                <w:rFonts w:hint="eastAsia" w:ascii="仿宋_GB2312" w:hAnsi="Calibri" w:eastAsia="仿宋_GB2312" w:cs="仿宋_GB2312"/>
                <w:kern w:val="0"/>
                <w:sz w:val="32"/>
                <w:szCs w:val="32"/>
                <w:lang w:val="zh-CN"/>
              </w:rPr>
              <w:t>出台《支持宜春中心城区强起来服务举措十五条》，推行“容缺审批+承诺制”。针对教育补短板、棚改安置等中心城区民生项目，共办理容缺审批件90余件；全面推行延时、错时、预约服务。坚持急事急办、特事特办，为老弱病残孕等群体提供快速通道、延时服务、提前面签、快递寄证等贴心服务。</w:t>
            </w:r>
            <w:r>
              <w:rPr>
                <w:rFonts w:hint="eastAsia" w:ascii="仿宋" w:hAnsi="仿宋" w:eastAsia="仿宋" w:cs="仿宋"/>
                <w:sz w:val="30"/>
                <w:szCs w:val="30"/>
                <w:highlight w:val="none"/>
              </w:rPr>
              <w:t>该项指标得5分</w:t>
            </w:r>
            <w:r>
              <w:rPr>
                <w:rFonts w:hint="eastAsia" w:ascii="仿宋" w:hAnsi="仿宋" w:eastAsia="仿宋" w:cs="仿宋"/>
                <w:sz w:val="30"/>
                <w:szCs w:val="30"/>
                <w:highlight w:val="none"/>
                <w:lang w:eastAsia="zh-CN"/>
              </w:rPr>
              <w:t>。</w:t>
            </w:r>
          </w:p>
          <w:p>
            <w:pPr>
              <w:pStyle w:val="6"/>
              <w:pageBreakBefore w:val="0"/>
              <w:kinsoku/>
              <w:wordWrap/>
              <w:overflowPunct/>
              <w:topLinePunct w:val="0"/>
              <w:autoSpaceDE/>
              <w:autoSpaceDN/>
              <w:bidi w:val="0"/>
              <w:adjustRightInd/>
              <w:snapToGrid/>
              <w:ind w:firstLine="642"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3.生态效益指标（10分）</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eastAsia" w:eastAsia="仿宋_GB2312"/>
                <w:highlight w:val="none"/>
                <w:lang w:eastAsia="zh-CN"/>
              </w:rPr>
            </w:pPr>
            <w:r>
              <w:rPr>
                <w:rFonts w:hint="eastAsia" w:ascii="仿宋" w:hAnsi="仿宋" w:eastAsia="仿宋" w:cs="仿宋"/>
                <w:b/>
                <w:bCs/>
                <w:sz w:val="30"/>
                <w:szCs w:val="30"/>
                <w:highlight w:val="none"/>
              </w:rPr>
              <w:t>①</w:t>
            </w:r>
            <w:r>
              <w:rPr>
                <w:rFonts w:hint="eastAsia" w:ascii="仿宋_GB2312" w:hAnsi="宋体" w:eastAsia="仿宋_GB2312"/>
                <w:b/>
                <w:sz w:val="32"/>
                <w:szCs w:val="32"/>
                <w:highlight w:val="none"/>
              </w:rPr>
              <w:t>严格耕地保护</w:t>
            </w:r>
            <w:r>
              <w:rPr>
                <w:rFonts w:hint="eastAsia" w:ascii="仿宋_GB2312" w:hAnsi="宋体" w:eastAsia="仿宋_GB2312"/>
                <w:b/>
                <w:sz w:val="32"/>
                <w:szCs w:val="32"/>
                <w:highlight w:val="none"/>
                <w:lang w:eastAsia="zh-CN"/>
              </w:rPr>
              <w:t>。</w:t>
            </w:r>
          </w:p>
          <w:p>
            <w:pPr>
              <w:pageBreakBefore w:val="0"/>
              <w:kinsoku/>
              <w:wordWrap/>
              <w:overflowPunct/>
              <w:topLinePunct w:val="0"/>
              <w:autoSpaceDE/>
              <w:autoSpaceDN/>
              <w:bidi w:val="0"/>
              <w:adjustRightInd/>
              <w:snapToGrid/>
              <w:spacing w:line="57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严格落实耕地占补平衡制度。在审批建设用地报批时，严格控制建设占用耕地，严格落实耕地占补平衡“先补后占、占一补一、占水田补水田”制度，确保了耕地数量不减少、质量不降低。今年报批建设占用耕地9676.56亩，均补充了相同数量和质量的耕地。该项指标得5分</w:t>
            </w:r>
            <w:r>
              <w:rPr>
                <w:rFonts w:hint="eastAsia" w:ascii="仿宋" w:hAnsi="仿宋" w:eastAsia="仿宋" w:cs="仿宋"/>
                <w:sz w:val="30"/>
                <w:szCs w:val="30"/>
                <w:highlight w:val="none"/>
                <w:lang w:eastAsia="zh-CN"/>
              </w:rPr>
              <w:t>。</w:t>
            </w:r>
          </w:p>
          <w:p>
            <w:pPr>
              <w:pageBreakBefore w:val="0"/>
              <w:kinsoku/>
              <w:wordWrap/>
              <w:overflowPunct/>
              <w:topLinePunct w:val="0"/>
              <w:autoSpaceDE/>
              <w:autoSpaceDN/>
              <w:bidi w:val="0"/>
              <w:adjustRightInd/>
              <w:snapToGrid/>
              <w:spacing w:line="570" w:lineRule="exact"/>
              <w:ind w:right="-210" w:rightChars="-100" w:firstLine="600" w:firstLineChars="200"/>
              <w:rPr>
                <w:rFonts w:hint="eastAsia" w:ascii="仿宋_GB2312" w:hAnsi="宋体" w:eastAsia="仿宋_GB2312"/>
                <w:b/>
                <w:sz w:val="32"/>
                <w:szCs w:val="32"/>
              </w:rPr>
            </w:pPr>
            <w:r>
              <w:rPr>
                <w:rFonts w:hint="eastAsia" w:ascii="仿宋" w:hAnsi="仿宋" w:eastAsia="仿宋" w:cs="仿宋"/>
                <w:b/>
                <w:bCs/>
                <w:sz w:val="30"/>
                <w:szCs w:val="30"/>
              </w:rPr>
              <w:t>②</w:t>
            </w:r>
            <w:r>
              <w:rPr>
                <w:rFonts w:hint="eastAsia" w:ascii="仿宋_GB2312" w:hAnsi="宋体" w:eastAsia="仿宋_GB2312"/>
                <w:b/>
                <w:sz w:val="32"/>
                <w:szCs w:val="32"/>
              </w:rPr>
              <w:t>保护</w:t>
            </w:r>
            <w:r>
              <w:rPr>
                <w:rFonts w:hint="eastAsia" w:ascii="仿宋_GB2312" w:hAnsi="宋体" w:eastAsia="仿宋_GB2312"/>
                <w:b/>
                <w:sz w:val="32"/>
                <w:szCs w:val="32"/>
                <w:lang w:val="en-US" w:eastAsia="zh-CN"/>
              </w:rPr>
              <w:t>矿山生态环境</w:t>
            </w:r>
            <w:r>
              <w:rPr>
                <w:rFonts w:hint="eastAsia" w:ascii="仿宋_GB2312" w:hAnsi="宋体" w:eastAsia="仿宋_GB2312"/>
                <w:b/>
                <w:sz w:val="32"/>
                <w:szCs w:val="32"/>
              </w:rPr>
              <w:t>。</w:t>
            </w:r>
          </w:p>
          <w:p>
            <w:pPr>
              <w:pageBreakBefore w:val="0"/>
              <w:kinsoku/>
              <w:wordWrap/>
              <w:overflowPunct/>
              <w:topLinePunct w:val="0"/>
              <w:autoSpaceDE/>
              <w:autoSpaceDN/>
              <w:bidi w:val="0"/>
              <w:adjustRightInd/>
              <w:snapToGrid/>
              <w:spacing w:line="57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全面推进全市矿山生态整治专项攻坚行动，开展矿山生态环境问题大排查大整治专项行动，整改完成率达99.4%，列全省第一。大力推进绿色矿山建设，已编制绿色矿山建设方案的矿山77个，已在按方案要求开展建设74个。着力解决废弃矿山生态环境遗留问题，全年新增废弃矿山修复治理面积270.3公顷。有序开展历史遗留矿山核查工作,全面启动了辖区内历史遗留矿山核查工作，并依据核查成果建立标准统一、数据可靠的历史遗留矿山数据库，为后期编制矿山生态修复规划、完善矿山生态修复政策等提供决策支持，已完成初步核查成果报部工作。该项指标得5分</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 xml:space="preserve">   </w:t>
            </w:r>
          </w:p>
          <w:p>
            <w:pPr>
              <w:pageBreakBefore w:val="0"/>
              <w:kinsoku/>
              <w:wordWrap/>
              <w:overflowPunct/>
              <w:topLinePunct w:val="0"/>
              <w:autoSpaceDE/>
              <w:autoSpaceDN/>
              <w:bidi w:val="0"/>
              <w:adjustRightInd/>
              <w:snapToGrid/>
              <w:spacing w:line="570" w:lineRule="exact"/>
              <w:ind w:firstLine="642" w:firstLineChars="200"/>
              <w:rPr>
                <w:rFonts w:hint="eastAsia" w:ascii="仿宋" w:hAnsi="仿宋" w:eastAsia="仿宋" w:cs="仿宋"/>
                <w:sz w:val="30"/>
                <w:szCs w:val="30"/>
                <w:highlight w:val="none"/>
                <w:lang w:val="en-US" w:eastAsia="zh-CN"/>
              </w:rPr>
            </w:pPr>
            <w:r>
              <w:rPr>
                <w:rFonts w:hint="eastAsia" w:ascii="楷体" w:hAnsi="楷体" w:eastAsia="楷体" w:cs="楷体"/>
                <w:b/>
                <w:bCs/>
                <w:sz w:val="32"/>
                <w:szCs w:val="32"/>
                <w:highlight w:val="none"/>
                <w:lang w:val="en-US" w:eastAsia="zh-CN"/>
              </w:rPr>
              <w:t>4</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可持续影响。</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5</w:t>
            </w:r>
            <w:r>
              <w:rPr>
                <w:rFonts w:hint="eastAsia" w:ascii="楷体" w:hAnsi="楷体" w:eastAsia="楷体" w:cs="楷体"/>
                <w:b/>
                <w:bCs/>
                <w:sz w:val="32"/>
                <w:szCs w:val="32"/>
                <w:highlight w:val="none"/>
              </w:rPr>
              <w:t>分）</w:t>
            </w:r>
            <w:r>
              <w:rPr>
                <w:rFonts w:hint="eastAsia" w:ascii="仿宋" w:hAnsi="仿宋" w:eastAsia="仿宋" w:cs="仿宋"/>
                <w:sz w:val="30"/>
                <w:szCs w:val="30"/>
                <w:highlight w:val="none"/>
                <w:lang w:val="en-US" w:eastAsia="zh-CN"/>
              </w:rPr>
              <w:t xml:space="preserve">  </w:t>
            </w:r>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default"/>
                <w:highlight w:val="none"/>
              </w:rPr>
            </w:pPr>
            <w:r>
              <w:rPr>
                <w:rFonts w:hint="eastAsia" w:ascii="仿宋" w:hAnsi="仿宋" w:eastAsia="仿宋" w:cs="仿宋"/>
                <w:sz w:val="30"/>
                <w:szCs w:val="30"/>
                <w:highlight w:val="none"/>
                <w:lang w:val="en-US" w:eastAsia="zh-CN"/>
              </w:rPr>
              <w:t xml:space="preserve">  </w:t>
            </w:r>
            <w:r>
              <w:rPr>
                <w:rFonts w:hint="eastAsia" w:ascii="仿宋" w:hAnsi="仿宋" w:eastAsia="仿宋" w:cs="仿宋"/>
                <w:b/>
                <w:bCs/>
                <w:sz w:val="30"/>
                <w:szCs w:val="30"/>
                <w:highlight w:val="none"/>
              </w:rPr>
              <w:t>①</w:t>
            </w:r>
            <w:r>
              <w:rPr>
                <w:rFonts w:hint="eastAsia" w:ascii="仿宋" w:hAnsi="仿宋" w:eastAsia="仿宋" w:cs="仿宋"/>
                <w:b/>
                <w:bCs/>
                <w:sz w:val="30"/>
                <w:szCs w:val="30"/>
                <w:highlight w:val="none"/>
                <w:lang w:val="en-US" w:eastAsia="zh-CN"/>
              </w:rPr>
              <w:t>制定相关制度和方案，建立和</w:t>
            </w:r>
            <w:r>
              <w:rPr>
                <w:rFonts w:hint="eastAsia" w:ascii="仿宋_GB2312" w:hAnsi="宋体" w:eastAsia="仿宋_GB2312"/>
                <w:b/>
                <w:sz w:val="32"/>
                <w:szCs w:val="32"/>
                <w:highlight w:val="none"/>
                <w:lang w:val="en-US" w:eastAsia="zh-CN"/>
              </w:rPr>
              <w:t>完善了</w:t>
            </w:r>
            <w:r>
              <w:rPr>
                <w:rFonts w:hint="eastAsia" w:ascii="仿宋_GB2312" w:hAnsi="宋体" w:eastAsia="仿宋_GB2312"/>
                <w:b/>
                <w:sz w:val="32"/>
                <w:szCs w:val="32"/>
                <w:highlight w:val="none"/>
              </w:rPr>
              <w:t>长效</w:t>
            </w:r>
            <w:r>
              <w:rPr>
                <w:rFonts w:hint="eastAsia" w:ascii="仿宋_GB2312" w:hAnsi="宋体" w:eastAsia="仿宋_GB2312"/>
                <w:b/>
                <w:sz w:val="32"/>
                <w:szCs w:val="32"/>
                <w:highlight w:val="none"/>
                <w:lang w:val="en-US" w:eastAsia="zh-CN"/>
              </w:rPr>
              <w:t>机制</w:t>
            </w:r>
            <w:r>
              <w:rPr>
                <w:rFonts w:hint="eastAsia" w:ascii="仿宋" w:hAnsi="仿宋" w:eastAsia="仿宋" w:cs="仿宋"/>
                <w:b/>
                <w:bCs/>
                <w:i w:val="0"/>
                <w:iCs w:val="0"/>
                <w:caps w:val="0"/>
                <w:color w:val="010000"/>
                <w:spacing w:val="0"/>
                <w:sz w:val="30"/>
                <w:szCs w:val="30"/>
                <w:highlight w:val="none"/>
                <w:u w:val="none"/>
                <w:shd w:val="clear" w:color="auto" w:fill="FFFFFF"/>
                <w:lang w:eastAsia="zh-CN"/>
              </w:rPr>
              <w:t>，</w:t>
            </w:r>
            <w:r>
              <w:rPr>
                <w:rFonts w:hint="eastAsia" w:ascii="仿宋" w:hAnsi="仿宋" w:eastAsia="仿宋" w:cs="仿宋"/>
                <w:b/>
                <w:bCs/>
                <w:i w:val="0"/>
                <w:iCs w:val="0"/>
                <w:caps w:val="0"/>
                <w:color w:val="010000"/>
                <w:spacing w:val="0"/>
                <w:sz w:val="30"/>
                <w:szCs w:val="30"/>
                <w:highlight w:val="none"/>
                <w:u w:val="none"/>
                <w:shd w:val="clear" w:color="auto" w:fill="FFFFFF"/>
                <w:lang w:val="en-US" w:eastAsia="zh-CN"/>
              </w:rPr>
              <w:t>促进社会经济可持续发展。得5分</w:t>
            </w:r>
          </w:p>
          <w:p>
            <w:pPr>
              <w:pageBreakBefore w:val="0"/>
              <w:kinsoku/>
              <w:wordWrap/>
              <w:overflowPunct/>
              <w:topLinePunct w:val="0"/>
              <w:autoSpaceDE/>
              <w:autoSpaceDN/>
              <w:bidi w:val="0"/>
              <w:adjustRightInd/>
              <w:snapToGrid/>
              <w:spacing w:line="570" w:lineRule="exact"/>
              <w:ind w:firstLine="600" w:firstLineChars="200"/>
              <w:rPr>
                <w:rFonts w:hint="default" w:ascii="仿宋" w:hAnsi="仿宋" w:eastAsia="仿宋" w:cs="仿宋"/>
                <w:i w:val="0"/>
                <w:iCs w:val="0"/>
                <w:caps w:val="0"/>
                <w:color w:val="010000"/>
                <w:spacing w:val="0"/>
                <w:sz w:val="30"/>
                <w:szCs w:val="30"/>
                <w:u w:val="none"/>
                <w:shd w:val="clear" w:color="auto" w:fill="FFFFFF"/>
                <w:lang w:val="en-US" w:eastAsia="zh-CN"/>
              </w:rPr>
            </w:pPr>
            <w:r>
              <w:rPr>
                <w:rFonts w:hint="eastAsia" w:ascii="仿宋" w:hAnsi="仿宋" w:eastAsia="仿宋" w:cs="仿宋"/>
                <w:sz w:val="30"/>
                <w:szCs w:val="30"/>
                <w:highlight w:val="none"/>
              </w:rPr>
              <w:t>下发《关于坚决遏制农村乱占耕地建房乱象的通知》，做到“早发现、早制止、严查处”</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完善了遏制乱占耕地方案</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下发了《关于进一步完善农村乱占耕地建房问题整治工作机制的通知》，建立健全了长效监管机制</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制定并印发了《宜春自然资源局推进基层党建标准化规范化信息化建设工作实施方案》</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持续</w:t>
            </w:r>
            <w:r>
              <w:rPr>
                <w:rFonts w:hint="eastAsia" w:ascii="仿宋" w:hAnsi="仿宋" w:eastAsia="仿宋" w:cs="仿宋"/>
                <w:sz w:val="30"/>
                <w:szCs w:val="30"/>
                <w:highlight w:val="none"/>
              </w:rPr>
              <w:t>推进支部标准化、规范化、信息化建设。促进</w:t>
            </w:r>
            <w:r>
              <w:rPr>
                <w:rFonts w:hint="eastAsia" w:ascii="仿宋" w:hAnsi="仿宋" w:eastAsia="仿宋" w:cs="仿宋"/>
                <w:sz w:val="30"/>
                <w:szCs w:val="30"/>
                <w:highlight w:val="none"/>
                <w:lang w:eastAsia="zh-CN"/>
              </w:rPr>
              <w:t>了</w:t>
            </w:r>
            <w:r>
              <w:rPr>
                <w:rFonts w:hint="eastAsia" w:ascii="仿宋" w:hAnsi="仿宋" w:eastAsia="仿宋" w:cs="仿宋"/>
                <w:sz w:val="30"/>
                <w:szCs w:val="30"/>
                <w:highlight w:val="none"/>
              </w:rPr>
              <w:t>社会经济可持续发展。该项指标得5分</w:t>
            </w:r>
            <w:r>
              <w:rPr>
                <w:rFonts w:hint="eastAsia" w:ascii="仿宋" w:hAnsi="仿宋" w:eastAsia="仿宋" w:cs="仿宋"/>
                <w:sz w:val="30"/>
                <w:szCs w:val="30"/>
                <w:highlight w:val="none"/>
                <w:lang w:val="en-US" w:eastAsia="zh-CN"/>
              </w:rPr>
              <w:t xml:space="preserve"> 。                                     </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200"/>
              <w:jc w:val="left"/>
              <w:textAlignment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（四）社会满意度</w:t>
            </w:r>
          </w:p>
          <w:p>
            <w:pPr>
              <w:pStyle w:val="4"/>
              <w:pageBreakBefore w:val="0"/>
              <w:numPr>
                <w:ilvl w:val="0"/>
                <w:numId w:val="2"/>
              </w:numPr>
              <w:kinsoku/>
              <w:wordWrap/>
              <w:overflowPunct/>
              <w:topLinePunct w:val="0"/>
              <w:autoSpaceDE/>
              <w:autoSpaceDN/>
              <w:bidi w:val="0"/>
              <w:adjustRightInd/>
              <w:snapToGrid/>
              <w:ind w:firstLine="600" w:firstLineChars="200"/>
              <w:rPr>
                <w:rFonts w:hint="eastAsia" w:ascii="仿宋" w:hAnsi="仿宋" w:cs="仿宋"/>
                <w:sz w:val="30"/>
                <w:szCs w:val="30"/>
                <w:highlight w:val="none"/>
                <w:lang w:val="en-US" w:eastAsia="zh-CN"/>
              </w:rPr>
            </w:pPr>
            <w:bookmarkStart w:id="21" w:name="_Toc17035"/>
            <w:r>
              <w:rPr>
                <w:rFonts w:hint="eastAsia" w:ascii="仿宋" w:hAnsi="仿宋" w:eastAsia="仿宋" w:cs="仿宋"/>
                <w:sz w:val="30"/>
                <w:szCs w:val="30"/>
                <w:highlight w:val="none"/>
                <w:lang w:val="en-US" w:eastAsia="zh-CN"/>
              </w:rPr>
              <w:t>社会满意度方面</w:t>
            </w:r>
            <w:r>
              <w:rPr>
                <w:rFonts w:hint="eastAsia" w:ascii="仿宋" w:hAnsi="仿宋" w:cs="仿宋"/>
                <w:sz w:val="30"/>
                <w:szCs w:val="30"/>
                <w:highlight w:val="none"/>
                <w:lang w:val="en-US" w:eastAsia="zh-CN"/>
              </w:rPr>
              <w:t>（10分）</w:t>
            </w:r>
            <w:bookmarkEnd w:id="21"/>
            <w:bookmarkStart w:id="22" w:name="_Toc30437"/>
            <w:bookmarkStart w:id="23" w:name="_Toc26274"/>
            <w:bookmarkStart w:id="24" w:name="_Toc23499"/>
          </w:p>
          <w:p>
            <w:pPr>
              <w:pStyle w:val="6"/>
              <w:pageBreakBefore w:val="0"/>
              <w:widowControl w:val="0"/>
              <w:numPr>
                <w:ilvl w:val="0"/>
                <w:numId w:val="0"/>
              </w:numPr>
              <w:kinsoku/>
              <w:wordWrap/>
              <w:overflowPunct/>
              <w:topLinePunct w:val="0"/>
              <w:autoSpaceDE/>
              <w:autoSpaceDN/>
              <w:bidi w:val="0"/>
              <w:adjustRightInd/>
              <w:snapToGrid/>
              <w:ind w:firstLine="600" w:firstLineChars="200"/>
              <w:jc w:val="both"/>
              <w:rPr>
                <w:rFonts w:hint="default"/>
              </w:rPr>
            </w:pPr>
            <w:r>
              <w:rPr>
                <w:rFonts w:hint="eastAsia" w:ascii="仿宋" w:hAnsi="宋体" w:eastAsia="仿宋" w:cs="宋体"/>
                <w:color w:val="000000"/>
                <w:kern w:val="0"/>
                <w:sz w:val="30"/>
                <w:szCs w:val="30"/>
                <w:lang w:val="en-US" w:eastAsia="zh-CN"/>
              </w:rPr>
              <w:t>2021年全年社会满意度无论是上级部门，还是社会公众，对我们的工作还是比较满意、认可的。</w:t>
            </w:r>
            <w:bookmarkEnd w:id="22"/>
            <w:bookmarkEnd w:id="23"/>
            <w:bookmarkEnd w:id="24"/>
            <w:r>
              <w:rPr>
                <w:rFonts w:hint="eastAsia" w:ascii="仿宋" w:hAnsi="仿宋" w:eastAsia="仿宋" w:cs="楷体_GB2312"/>
                <w:sz w:val="30"/>
                <w:szCs w:val="30"/>
              </w:rPr>
              <w:t>我部门持续改进</w:t>
            </w:r>
            <w:r>
              <w:rPr>
                <w:rFonts w:hint="eastAsia" w:ascii="仿宋" w:hAnsi="仿宋" w:eastAsia="仿宋" w:cs="楷体_GB2312"/>
                <w:sz w:val="30"/>
                <w:szCs w:val="30"/>
                <w:lang w:val="en-US" w:eastAsia="zh-CN"/>
              </w:rPr>
              <w:t>单位</w:t>
            </w:r>
            <w:r>
              <w:rPr>
                <w:rFonts w:hint="eastAsia" w:ascii="仿宋" w:hAnsi="仿宋" w:eastAsia="仿宋" w:cs="楷体_GB2312"/>
                <w:sz w:val="30"/>
                <w:szCs w:val="30"/>
              </w:rPr>
              <w:t>作风,通过开展问卷调查了解社会公众在部门履职效果、解决民众关心的热点问题等方面的满意度，反映和评价部门支出所带来的社会效益，问卷数量</w:t>
            </w:r>
            <w:r>
              <w:rPr>
                <w:rFonts w:hint="eastAsia" w:ascii="仿宋" w:hAnsi="仿宋" w:eastAsia="仿宋" w:cs="楷体_GB2312"/>
                <w:sz w:val="30"/>
                <w:szCs w:val="30"/>
                <w:lang w:val="en-US" w:eastAsia="zh-CN"/>
              </w:rPr>
              <w:t>上级部门</w:t>
            </w:r>
            <w:r>
              <w:rPr>
                <w:rFonts w:hint="eastAsia" w:ascii="仿宋" w:hAnsi="仿宋" w:eastAsia="仿宋" w:cs="楷体_GB2312"/>
                <w:sz w:val="30"/>
                <w:szCs w:val="30"/>
              </w:rPr>
              <w:t>和社会公众各50份，满意度分别为95%和92%。</w:t>
            </w:r>
            <w:r>
              <w:rPr>
                <w:rFonts w:hint="eastAsia" w:ascii="仿宋" w:hAnsi="仿宋" w:eastAsia="仿宋" w:cs="仿宋"/>
                <w:sz w:val="30"/>
                <w:szCs w:val="30"/>
              </w:rPr>
              <w:t>该项指标得10分</w:t>
            </w:r>
            <w:r>
              <w:rPr>
                <w:rFonts w:hint="eastAsia" w:ascii="仿宋" w:hAnsi="仿宋" w:eastAsia="仿宋" w:cs="楷体_GB2312"/>
                <w:sz w:val="30"/>
                <w:szCs w:val="30"/>
              </w:rPr>
              <w:t>。</w:t>
            </w:r>
          </w:p>
        </w:tc>
      </w:tr>
      <w:tr>
        <w:tblPrEx>
          <w:shd w:val="clear" w:color="auto" w:fill="auto"/>
          <w:tblCellMar>
            <w:top w:w="0" w:type="dxa"/>
            <w:left w:w="108" w:type="dxa"/>
            <w:bottom w:w="0" w:type="dxa"/>
            <w:right w:w="108" w:type="dxa"/>
          </w:tblCellMar>
        </w:tblPrEx>
        <w:trPr>
          <w:trHeight w:val="851" w:hRule="atLeast"/>
        </w:trPr>
        <w:tc>
          <w:tcPr>
            <w:tcW w:w="9546"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center"/>
              <w:rPr>
                <w:rFonts w:hint="default" w:ascii="仿宋_GB2312" w:hAnsi="宋体" w:eastAsia="仿宋_GB2312" w:cs="仿宋_GB2312"/>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三、</w:t>
            </w:r>
            <w:r>
              <w:rPr>
                <w:rFonts w:hint="eastAsia" w:ascii="黑体" w:hAnsi="黑体" w:eastAsia="黑体" w:cs="黑体"/>
                <w:b/>
                <w:bCs/>
                <w:i w:val="0"/>
                <w:iCs w:val="0"/>
                <w:color w:val="000000"/>
                <w:kern w:val="0"/>
                <w:sz w:val="32"/>
                <w:szCs w:val="32"/>
                <w:u w:val="none"/>
                <w:lang w:val="en-US" w:eastAsia="zh-CN" w:bidi="ar"/>
              </w:rPr>
              <w:t>部门（单位）整体支出绩效中存在问题及改进措施</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420" w:leftChars="0" w:firstLine="602" w:firstLineChars="200"/>
              <w:jc w:val="left"/>
              <w:textAlignment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主要问题及原因分析</w:t>
            </w:r>
          </w:p>
          <w:p>
            <w:pPr>
              <w:pageBreakBefore w:val="0"/>
              <w:kinsoku/>
              <w:wordWrap/>
              <w:overflowPunct/>
              <w:topLinePunct w:val="0"/>
              <w:autoSpaceDE/>
              <w:autoSpaceDN/>
              <w:bidi w:val="0"/>
              <w:adjustRightInd/>
              <w:snapToGrid/>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1.预算编制工作有待细化。预算编制不够明确和细化，预算编制的合理性需要提高。预算执行力度还要进一步加强。</w:t>
            </w:r>
          </w:p>
          <w:p>
            <w:pPr>
              <w:pageBreakBefore w:val="0"/>
              <w:kinsoku/>
              <w:wordWrap/>
              <w:overflowPunct/>
              <w:topLinePunct w:val="0"/>
              <w:autoSpaceDE/>
              <w:autoSpaceDN/>
              <w:bidi w:val="0"/>
              <w:adjustRightInd/>
              <w:snapToGrid/>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2.财务工作水平有待提高。财务缺乏创新，在精度和深度上欠缺，尤其是绩效管理工作方面还需学深悟透，强化管理。</w:t>
            </w:r>
          </w:p>
          <w:p>
            <w:pPr>
              <w:pageBreakBefore w:val="0"/>
              <w:kinsoku/>
              <w:wordWrap/>
              <w:overflowPunct/>
              <w:topLinePunct w:val="0"/>
              <w:autoSpaceDE/>
              <w:autoSpaceDN/>
              <w:bidi w:val="0"/>
              <w:adjustRightInd/>
              <w:snapToGrid/>
              <w:ind w:firstLine="420" w:firstLineChars="200"/>
              <w:rPr>
                <w:rFonts w:hint="default"/>
              </w:rPr>
            </w:pP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420" w:leftChars="0" w:firstLine="602" w:firstLineChars="200"/>
              <w:jc w:val="left"/>
              <w:textAlignment w:val="center"/>
              <w:rPr>
                <w:rFonts w:hint="default"/>
              </w:rPr>
            </w:pPr>
            <w:r>
              <w:rPr>
                <w:rFonts w:hint="eastAsia" w:ascii="黑体" w:hAnsi="黑体" w:eastAsia="黑体" w:cs="黑体"/>
                <w:b/>
                <w:bCs/>
                <w:sz w:val="30"/>
                <w:szCs w:val="30"/>
                <w:lang w:val="en-US" w:eastAsia="zh-CN"/>
              </w:rPr>
              <w:t>改进的方向和具体措施</w:t>
            </w:r>
          </w:p>
          <w:p>
            <w:pPr>
              <w:pageBreakBefore w:val="0"/>
              <w:kinsoku/>
              <w:wordWrap/>
              <w:overflowPunct/>
              <w:topLinePunct w:val="0"/>
              <w:autoSpaceDE/>
              <w:autoSpaceDN/>
              <w:bidi w:val="0"/>
              <w:adjustRightInd/>
              <w:snapToGrid/>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细化预算编制，严格预算执行。进一步加强单位内部机构各科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严格预算执行，提高预算执行率。</w:t>
            </w:r>
          </w:p>
          <w:p>
            <w:pPr>
              <w:pageBreakBefore w:val="0"/>
              <w:kinsoku/>
              <w:wordWrap/>
              <w:overflowPunct/>
              <w:topLinePunct w:val="0"/>
              <w:autoSpaceDE/>
              <w:autoSpaceDN/>
              <w:bidi w:val="0"/>
              <w:adjustRightInd/>
              <w:snapToGrid/>
              <w:spacing w:line="360" w:lineRule="auto"/>
              <w:ind w:firstLine="600" w:firstLineChars="200"/>
              <w:rPr>
                <w:rFonts w:hint="default"/>
              </w:rPr>
            </w:pPr>
            <w:r>
              <w:rPr>
                <w:rFonts w:hint="eastAsia" w:ascii="仿宋" w:hAnsi="仿宋" w:eastAsia="仿宋" w:cs="仿宋"/>
                <w:color w:val="000000"/>
                <w:sz w:val="30"/>
                <w:szCs w:val="30"/>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tc>
      </w:tr>
      <w:tr>
        <w:tblPrEx>
          <w:shd w:val="clear" w:color="auto" w:fill="auto"/>
          <w:tblCellMar>
            <w:top w:w="0" w:type="dxa"/>
            <w:left w:w="108" w:type="dxa"/>
            <w:bottom w:w="0" w:type="dxa"/>
            <w:right w:w="108" w:type="dxa"/>
          </w:tblCellMar>
        </w:tblPrEx>
        <w:trPr>
          <w:trHeight w:val="638" w:hRule="atLeast"/>
        </w:trPr>
        <w:tc>
          <w:tcPr>
            <w:tcW w:w="9546" w:type="dxa"/>
            <w:tcBorders>
              <w:top w:val="nil"/>
              <w:left w:val="nil"/>
              <w:bottom w:val="nil"/>
              <w:right w:val="nil"/>
            </w:tcBorders>
            <w:shd w:val="clear" w:color="auto" w:fill="auto"/>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firstLine="640" w:firstLineChars="200"/>
              <w:jc w:val="left"/>
              <w:textAlignment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绩效自评结果拟应用和公开情况</w:t>
            </w:r>
          </w:p>
          <w:p>
            <w:pPr>
              <w:pStyle w:val="6"/>
              <w:pageBreakBefore w:val="0"/>
              <w:widowControl w:val="0"/>
              <w:numPr>
                <w:ilvl w:val="0"/>
                <w:numId w:val="0"/>
              </w:numPr>
              <w:kinsoku/>
              <w:wordWrap/>
              <w:overflowPunct/>
              <w:topLinePunct w:val="0"/>
              <w:autoSpaceDE/>
              <w:autoSpaceDN/>
              <w:bidi w:val="0"/>
              <w:adjustRightInd/>
              <w:snapToGrid/>
              <w:ind w:firstLine="420" w:firstLineChars="200"/>
              <w:jc w:val="both"/>
              <w:rPr>
                <w:rFonts w:hint="default"/>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1.绩效自评结果</w:t>
            </w:r>
            <w:r>
              <w:rPr>
                <w:rFonts w:hint="eastAsia" w:ascii="仿宋" w:hAnsi="仿宋" w:eastAsia="仿宋" w:cs="仿宋"/>
                <w:b/>
                <w:color w:val="auto"/>
                <w:sz w:val="30"/>
                <w:szCs w:val="30"/>
                <w:lang w:val="en-US" w:eastAsia="zh-CN"/>
              </w:rPr>
              <w:t>拟应用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为做好绩效评价工作，各部门负责组织开展绩效自评，成立绩效评价工作小组，制定评价方案，设计评价指标。通过自评，在工作管理的情况较好，各项管理制度比较健全。自评价总得分为</w:t>
            </w:r>
            <w:r>
              <w:rPr>
                <w:rFonts w:hint="eastAsia" w:ascii="仿宋" w:hAnsi="仿宋" w:eastAsia="仿宋" w:cs="仿宋"/>
                <w:b/>
                <w:bCs/>
                <w:color w:val="auto"/>
                <w:sz w:val="30"/>
                <w:szCs w:val="30"/>
                <w:lang w:val="en-US" w:eastAsia="zh-CN"/>
              </w:rPr>
              <w:t>97</w:t>
            </w:r>
            <w:r>
              <w:rPr>
                <w:rFonts w:hint="eastAsia" w:ascii="仿宋" w:hAnsi="仿宋" w:eastAsia="仿宋" w:cs="仿宋"/>
                <w:color w:val="auto"/>
                <w:sz w:val="30"/>
                <w:szCs w:val="30"/>
                <w:lang w:val="en-US" w:eastAsia="zh-CN"/>
              </w:rPr>
              <w:t>分，评价结论为“优”。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
                <w:b/>
                <w:bCs/>
                <w:color w:val="auto"/>
                <w:sz w:val="30"/>
                <w:szCs w:val="30"/>
                <w:lang w:val="en-US" w:eastAsia="zh-CN"/>
              </w:rPr>
              <w:t>2.评价结果公开情况</w:t>
            </w:r>
          </w:p>
          <w:p>
            <w:pPr>
              <w:pageBreakBefore w:val="0"/>
              <w:numPr>
                <w:ilvl w:val="0"/>
                <w:numId w:val="0"/>
              </w:numPr>
              <w:kinsoku/>
              <w:wordWrap/>
              <w:overflowPunct/>
              <w:topLinePunct w:val="0"/>
              <w:autoSpaceDE/>
              <w:autoSpaceDN/>
              <w:bidi w:val="0"/>
              <w:adjustRightInd/>
              <w:snapToGrid/>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严格执行各项公开，</w:t>
            </w:r>
            <w:r>
              <w:rPr>
                <w:rFonts w:hint="eastAsia" w:ascii="Times New Roman" w:hAnsi="Times New Roman" w:eastAsia="仿宋_GB2312" w:cs="Times New Roman"/>
                <w:sz w:val="32"/>
                <w:szCs w:val="32"/>
                <w:lang w:val="en-US" w:eastAsia="zh-CN"/>
              </w:rPr>
              <w:t>将评价结果应用作为全过程预算绩效管理落脚点，及时整理、归纳、分析、反馈绩效评价结果，改进预算管理，作为我局以后年度预算安排的重要依据，</w:t>
            </w:r>
            <w:r>
              <w:rPr>
                <w:rFonts w:hint="default" w:ascii="Times New Roman" w:hAnsi="Times New Roman" w:eastAsia="仿宋_GB2312" w:cs="Times New Roman"/>
                <w:sz w:val="32"/>
                <w:szCs w:val="32"/>
                <w:lang w:val="en-US" w:eastAsia="zh-CN"/>
              </w:rPr>
              <w:t>指导我</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更好的开展绩效管理工作。</w:t>
            </w:r>
          </w:p>
          <w:p>
            <w:pPr>
              <w:pageBreakBefore w:val="0"/>
              <w:kinsoku/>
              <w:wordWrap/>
              <w:overflowPunct/>
              <w:topLinePunct w:val="0"/>
              <w:autoSpaceDE/>
              <w:autoSpaceDN/>
              <w:bidi w:val="0"/>
              <w:adjustRightInd/>
              <w:snapToGrid/>
              <w:ind w:firstLine="600" w:firstLineChars="200"/>
              <w:rPr>
                <w:rFonts w:hint="eastAsia" w:ascii="仿宋" w:hAnsi="仿宋" w:eastAsia="仿宋" w:cs="仿宋"/>
                <w:sz w:val="30"/>
                <w:szCs w:val="30"/>
              </w:rPr>
            </w:pPr>
            <w:r>
              <w:rPr>
                <w:rFonts w:hint="eastAsia" w:ascii="仿宋" w:hAnsi="仿宋" w:eastAsia="仿宋" w:cs="仿宋"/>
                <w:sz w:val="30"/>
                <w:szCs w:val="30"/>
              </w:rPr>
              <w:t>财政局对各部门绩效自评工作情况进行抽查或进行财政评价。督促各部门对绩效自评中发现的问题进行整改，并将绩效自评结果作为预算安排和政策调整的重要参考依据，财政重点评价结果向</w:t>
            </w:r>
            <w:r>
              <w:rPr>
                <w:rFonts w:hint="eastAsia" w:ascii="仿宋" w:hAnsi="仿宋" w:eastAsia="仿宋" w:cs="仿宋"/>
                <w:sz w:val="30"/>
                <w:szCs w:val="30"/>
                <w:lang w:val="en-US" w:eastAsia="zh-CN"/>
              </w:rPr>
              <w:t>市</w:t>
            </w:r>
            <w:r>
              <w:rPr>
                <w:rFonts w:hint="eastAsia" w:ascii="仿宋" w:hAnsi="仿宋" w:eastAsia="仿宋" w:cs="仿宋"/>
                <w:sz w:val="30"/>
                <w:szCs w:val="30"/>
              </w:rPr>
              <w:t>人大报告并向社会公开（涉密项目除外）。</w:t>
            </w:r>
          </w:p>
          <w:p>
            <w:pPr>
              <w:pageBreakBefore w:val="0"/>
              <w:kinsoku/>
              <w:wordWrap/>
              <w:overflowPunct/>
              <w:topLinePunct w:val="0"/>
              <w:autoSpaceDE/>
              <w:autoSpaceDN/>
              <w:bidi w:val="0"/>
              <w:adjustRightInd/>
              <w:snapToGrid/>
              <w:ind w:firstLine="600" w:firstLineChars="200"/>
              <w:rPr>
                <w:rFonts w:hint="eastAsia" w:ascii="仿宋" w:hAnsi="仿宋" w:eastAsia="仿宋" w:cs="仿宋"/>
                <w:sz w:val="30"/>
                <w:szCs w:val="30"/>
              </w:rPr>
            </w:pPr>
          </w:p>
          <w:p>
            <w:pPr>
              <w:pageBreakBefore w:val="0"/>
              <w:kinsoku/>
              <w:wordWrap/>
              <w:overflowPunct/>
              <w:topLinePunct w:val="0"/>
              <w:autoSpaceDE/>
              <w:autoSpaceDN/>
              <w:bidi w:val="0"/>
              <w:adjustRightInd/>
              <w:snapToGrid/>
              <w:ind w:firstLine="600" w:firstLineChars="200"/>
              <w:jc w:val="right"/>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rPr>
              <w:t>宜春市自然资源局</w:t>
            </w:r>
          </w:p>
          <w:p>
            <w:pPr>
              <w:pageBreakBefore w:val="0"/>
              <w:kinsoku/>
              <w:wordWrap/>
              <w:overflowPunct/>
              <w:topLinePunct w:val="0"/>
              <w:autoSpaceDE/>
              <w:autoSpaceDN/>
              <w:bidi w:val="0"/>
              <w:adjustRightInd/>
              <w:snapToGrid/>
              <w:ind w:firstLine="600" w:firstLineChars="200"/>
              <w:jc w:val="right"/>
              <w:rPr>
                <w:rFonts w:hint="default"/>
              </w:rPr>
            </w:pPr>
            <w:r>
              <w:rPr>
                <w:rFonts w:hint="eastAsia" w:ascii="仿宋" w:hAnsi="仿宋" w:eastAsia="仿宋" w:cs="仿宋"/>
                <w:b/>
                <w:bCs/>
                <w:sz w:val="30"/>
                <w:szCs w:val="30"/>
                <w:lang w:val="en-US" w:eastAsia="zh-CN"/>
              </w:rPr>
              <w:t>2022年4月</w:t>
            </w:r>
          </w:p>
        </w:tc>
      </w:tr>
    </w:tbl>
    <w:p>
      <w:pPr>
        <w:pageBreakBefore w:val="0"/>
        <w:kinsoku/>
        <w:wordWrap/>
        <w:overflowPunct/>
        <w:topLinePunct w:val="0"/>
        <w:autoSpaceDE/>
        <w:autoSpaceDN/>
        <w:bidi w:val="0"/>
        <w:adjustRightInd/>
        <w:snapToGrid/>
        <w:ind w:firstLine="420" w:firstLineChars="200"/>
      </w:pPr>
    </w:p>
    <w:sectPr>
      <w:footerReference r:id="rId4" w:type="default"/>
      <w:pgSz w:w="11906" w:h="16838"/>
      <w:pgMar w:top="1440" w:right="1179" w:bottom="1440" w:left="1179"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EE2BB"/>
    <w:multiLevelType w:val="singleLevel"/>
    <w:tmpl w:val="C10EE2BB"/>
    <w:lvl w:ilvl="0" w:tentative="0">
      <w:start w:val="4"/>
      <w:numFmt w:val="chineseCounting"/>
      <w:suff w:val="nothing"/>
      <w:lvlText w:val="%1、"/>
      <w:lvlJc w:val="left"/>
      <w:rPr>
        <w:rFonts w:hint="eastAsia"/>
      </w:rPr>
    </w:lvl>
  </w:abstractNum>
  <w:abstractNum w:abstractNumId="1">
    <w:nsid w:val="FE419F98"/>
    <w:multiLevelType w:val="singleLevel"/>
    <w:tmpl w:val="FE419F98"/>
    <w:lvl w:ilvl="0" w:tentative="0">
      <w:start w:val="1"/>
      <w:numFmt w:val="decimal"/>
      <w:suff w:val="nothing"/>
      <w:lvlText w:val="%1、"/>
      <w:lvlJc w:val="left"/>
    </w:lvl>
  </w:abstractNum>
  <w:abstractNum w:abstractNumId="2">
    <w:nsid w:val="33D95CF4"/>
    <w:multiLevelType w:val="singleLevel"/>
    <w:tmpl w:val="33D95CF4"/>
    <w:lvl w:ilvl="0" w:tentative="0">
      <w:start w:val="1"/>
      <w:numFmt w:val="chineseCounting"/>
      <w:suff w:val="nothing"/>
      <w:lvlText w:val="（%1）"/>
      <w:lvlJc w:val="left"/>
      <w:pPr>
        <w:ind w:left="420" w:leftChars="0" w:firstLine="0" w:firstLineChars="0"/>
      </w:pPr>
      <w:rPr>
        <w:rFonts w:hint="eastAsia" w:ascii="黑体" w:hAnsi="黑体" w:eastAsia="黑体" w:cs="黑体"/>
        <w:sz w:val="30"/>
        <w:szCs w:val="30"/>
      </w:rPr>
    </w:lvl>
  </w:abstractNum>
  <w:abstractNum w:abstractNumId="3">
    <w:nsid w:val="33F02FED"/>
    <w:multiLevelType w:val="singleLevel"/>
    <w:tmpl w:val="33F02FED"/>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2038D"/>
    <w:rsid w:val="02582C7C"/>
    <w:rsid w:val="038C7851"/>
    <w:rsid w:val="049A0DD8"/>
    <w:rsid w:val="056A203F"/>
    <w:rsid w:val="071A6124"/>
    <w:rsid w:val="078E7069"/>
    <w:rsid w:val="07994E85"/>
    <w:rsid w:val="07BF3EBF"/>
    <w:rsid w:val="07CF1165"/>
    <w:rsid w:val="09CA1322"/>
    <w:rsid w:val="0B894F3F"/>
    <w:rsid w:val="0B8C5610"/>
    <w:rsid w:val="0BC117B3"/>
    <w:rsid w:val="0D806FBA"/>
    <w:rsid w:val="0EB92EB2"/>
    <w:rsid w:val="0F62002E"/>
    <w:rsid w:val="0FE52C62"/>
    <w:rsid w:val="0FFD2B89"/>
    <w:rsid w:val="11B0391D"/>
    <w:rsid w:val="125C3635"/>
    <w:rsid w:val="148F21DA"/>
    <w:rsid w:val="155054B4"/>
    <w:rsid w:val="18567D73"/>
    <w:rsid w:val="19C87445"/>
    <w:rsid w:val="1A7A1FD1"/>
    <w:rsid w:val="1BC91543"/>
    <w:rsid w:val="1EB34D2D"/>
    <w:rsid w:val="1ED51B72"/>
    <w:rsid w:val="1F640D9F"/>
    <w:rsid w:val="1FBA0C66"/>
    <w:rsid w:val="20445DE3"/>
    <w:rsid w:val="206252BE"/>
    <w:rsid w:val="21C866AA"/>
    <w:rsid w:val="22CD24B7"/>
    <w:rsid w:val="26A93AB7"/>
    <w:rsid w:val="27D76439"/>
    <w:rsid w:val="28E87FF7"/>
    <w:rsid w:val="2C39738D"/>
    <w:rsid w:val="2D8E4A96"/>
    <w:rsid w:val="2E623EA9"/>
    <w:rsid w:val="30E95BFD"/>
    <w:rsid w:val="313B5050"/>
    <w:rsid w:val="32F10A57"/>
    <w:rsid w:val="33B944AC"/>
    <w:rsid w:val="353C5982"/>
    <w:rsid w:val="385525B9"/>
    <w:rsid w:val="38615D65"/>
    <w:rsid w:val="3A9943A3"/>
    <w:rsid w:val="3AEA4873"/>
    <w:rsid w:val="3C41786E"/>
    <w:rsid w:val="3ED26BFB"/>
    <w:rsid w:val="3F374237"/>
    <w:rsid w:val="412F7527"/>
    <w:rsid w:val="41A86219"/>
    <w:rsid w:val="45A64E29"/>
    <w:rsid w:val="46B60DBE"/>
    <w:rsid w:val="4CBD1232"/>
    <w:rsid w:val="4D3B2A71"/>
    <w:rsid w:val="4D815D2C"/>
    <w:rsid w:val="4DDD26D8"/>
    <w:rsid w:val="4EF82132"/>
    <w:rsid w:val="4FEA1BB1"/>
    <w:rsid w:val="507656AC"/>
    <w:rsid w:val="514D3EC6"/>
    <w:rsid w:val="517E7A9A"/>
    <w:rsid w:val="56F03C15"/>
    <w:rsid w:val="57E55266"/>
    <w:rsid w:val="59301C2B"/>
    <w:rsid w:val="5A3258D5"/>
    <w:rsid w:val="5C797687"/>
    <w:rsid w:val="5D393064"/>
    <w:rsid w:val="5D5D495A"/>
    <w:rsid w:val="5E364F37"/>
    <w:rsid w:val="5E631BD3"/>
    <w:rsid w:val="600E7738"/>
    <w:rsid w:val="62342B25"/>
    <w:rsid w:val="642E4D91"/>
    <w:rsid w:val="643108B3"/>
    <w:rsid w:val="69D97678"/>
    <w:rsid w:val="6B841E17"/>
    <w:rsid w:val="72F11285"/>
    <w:rsid w:val="74AE5F32"/>
    <w:rsid w:val="754C7446"/>
    <w:rsid w:val="75C62F0C"/>
    <w:rsid w:val="78486BE4"/>
    <w:rsid w:val="78DA1F12"/>
    <w:rsid w:val="7AF94FEE"/>
    <w:rsid w:val="7D8D2289"/>
    <w:rsid w:val="7F2C556D"/>
    <w:rsid w:val="978F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9"/>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link w:val="19"/>
    <w:unhideWhenUsed/>
    <w:qFormat/>
    <w:uiPriority w:val="0"/>
    <w:pPr>
      <w:keepNext/>
      <w:keepLines/>
      <w:spacing w:before="120" w:after="120" w:line="360" w:lineRule="auto"/>
      <w:jc w:val="left"/>
      <w:outlineLvl w:val="2"/>
    </w:pPr>
    <w:rPr>
      <w:rFonts w:ascii="Times New Roman" w:hAnsi="Times New Roman" w:eastAsia="仿宋" w:cs="Times New Roman"/>
      <w:b/>
      <w:bCs/>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caption"/>
    <w:basedOn w:val="1"/>
    <w:next w:val="1"/>
    <w:semiHidden/>
    <w:unhideWhenUsed/>
    <w:qFormat/>
    <w:uiPriority w:val="0"/>
    <w:rPr>
      <w:rFonts w:ascii="Arial" w:hAnsi="Arial" w:eastAsia="黑体"/>
      <w:sz w:val="20"/>
    </w:rPr>
  </w:style>
  <w:style w:type="paragraph" w:styleId="6">
    <w:name w:val="Body Text"/>
    <w:basedOn w:val="1"/>
    <w:qFormat/>
    <w:uiPriority w:val="0"/>
    <w:rPr>
      <w:rFonts w:ascii="Times New Roman" w:hAnsi="Times New Roman" w:eastAsia="宋体"/>
      <w:szCs w:val="24"/>
    </w:rPr>
  </w:style>
  <w:style w:type="paragraph" w:styleId="7">
    <w:name w:val="toc 3"/>
    <w:basedOn w:val="1"/>
    <w:next w:val="1"/>
    <w:qFormat/>
    <w:uiPriority w:val="0"/>
    <w:pPr>
      <w:ind w:left="840" w:leftChars="400" w:firstLine="0" w:firstLineChars="0"/>
    </w:pPr>
    <w:rPr>
      <w:rFonts w:ascii="Times New Roman" w:hAnsi="Times New Roman" w:eastAsia="宋体"/>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ind w:firstLine="0" w:firstLineChars="0"/>
    </w:pPr>
    <w:rPr>
      <w:rFonts w:ascii="Times New Roman" w:hAnsi="Times New Roman" w:eastAsia="宋体"/>
      <w:sz w:val="24"/>
      <w:szCs w:val="24"/>
    </w:rPr>
  </w:style>
  <w:style w:type="paragraph" w:styleId="11">
    <w:name w:val="toc 2"/>
    <w:basedOn w:val="1"/>
    <w:next w:val="1"/>
    <w:qFormat/>
    <w:uiPriority w:val="0"/>
    <w:pPr>
      <w:ind w:left="420" w:leftChars="200" w:firstLine="0" w:firstLineChars="0"/>
    </w:pPr>
    <w:rPr>
      <w:rFonts w:ascii="Times New Roman" w:hAnsi="Times New Roman" w:eastAsia="宋体"/>
      <w:szCs w:val="24"/>
    </w:rPr>
  </w:style>
  <w:style w:type="paragraph" w:styleId="12">
    <w:name w:val="Normal (Web)"/>
    <w:basedOn w:val="1"/>
    <w:qFormat/>
    <w:uiPriority w:val="0"/>
    <w:pPr>
      <w:widowControl/>
      <w:spacing w:before="100" w:beforeAutospacing="1" w:after="100" w:afterAutospacing="1"/>
      <w:jc w:val="left"/>
    </w:pPr>
    <w:rPr>
      <w:rFonts w:ascii="Verdana" w:hAnsi="Verdana"/>
      <w:kern w:val="0"/>
      <w:sz w:val="18"/>
      <w:szCs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character" w:customStyle="1" w:styleId="19">
    <w:name w:val="标题 3 Char"/>
    <w:link w:val="4"/>
    <w:qFormat/>
    <w:uiPriority w:val="0"/>
    <w:rPr>
      <w:rFonts w:ascii="Times New Roman" w:hAnsi="Times New Roman" w:eastAsia="仿宋" w:cs="Times New Roman"/>
      <w:b/>
      <w:bCs/>
      <w:szCs w:val="32"/>
    </w:rPr>
  </w:style>
  <w:style w:type="paragraph" w:customStyle="1" w:styleId="20">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21">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13573</Words>
  <Characters>15037</Characters>
  <Lines>0</Lines>
  <Paragraphs>0</Paragraphs>
  <TotalTime>11</TotalTime>
  <ScaleCrop>false</ScaleCrop>
  <LinksUpToDate>false</LinksUpToDate>
  <CharactersWithSpaces>15232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2021-04-09T13:00:00Z</dcterms:created>
  <dc:creator>hw</dc:creator>
  <cp:lastModifiedBy>admin123</cp:lastModifiedBy>
  <cp:lastPrinted>2021-05-13T12:06:00Z</cp:lastPrinted>
  <dcterms:modified xsi:type="dcterms:W3CDTF">2023-05-09T09:14:15Z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09ED55BCD41E40A89BD7CCF6B1050E00</vt:lpwstr>
  </property>
</Properties>
</file>